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710E51">
      <w:pPr>
        <w:spacing w:line="360" w:lineRule="auto"/>
        <w:jc w:val="center"/>
        <w:rPr>
          <w:rFonts w:hint="eastAsia" w:asciiTheme="minorEastAsia" w:hAnsiTheme="minorEastAsia"/>
          <w:b/>
          <w:bCs/>
          <w:sz w:val="28"/>
          <w:szCs w:val="28"/>
        </w:rPr>
      </w:pPr>
      <w:r>
        <w:rPr>
          <w:rFonts w:hint="eastAsia" w:asciiTheme="minorEastAsia" w:hAnsiTheme="minorEastAsia"/>
          <w:b/>
          <w:bCs/>
          <w:sz w:val="28"/>
          <w:szCs w:val="28"/>
        </w:rPr>
        <w:t>自强楼一二层教学信息化及智慧教学设施建设项目</w:t>
      </w:r>
    </w:p>
    <w:p w14:paraId="1757F8B1">
      <w:pPr>
        <w:pStyle w:val="3"/>
      </w:pPr>
      <w:r>
        <w:rPr>
          <w:rFonts w:hint="eastAsia"/>
        </w:rPr>
        <w:t>一、项目概况</w:t>
      </w:r>
    </w:p>
    <w:p w14:paraId="763FE8A6">
      <w:pPr>
        <w:spacing w:line="360" w:lineRule="auto"/>
        <w:ind w:firstLine="420" w:firstLineChars="200"/>
      </w:pPr>
      <w:r>
        <w:rPr>
          <w:rFonts w:hint="eastAsia"/>
        </w:rPr>
        <w:t>福建中医药大学旗山校区自强楼一二层教学信息化及智慧教学设施建设项目，聚焦提升教学信息化水平与智慧教学体验，为学校智慧教学提供硬件支撑与系统保障。</w:t>
      </w:r>
    </w:p>
    <w:p w14:paraId="0CCD1A93">
      <w:pPr>
        <w:spacing w:line="360" w:lineRule="auto"/>
        <w:ind w:firstLine="420" w:firstLineChars="200"/>
      </w:pPr>
      <w:r>
        <w:rPr>
          <w:rFonts w:hint="eastAsia"/>
        </w:rPr>
        <w:t>项目覆盖两类规模教室：其一为 80-90 人教室 13 间，编号分别为 1101、1103、1104、1105、1106、1116、1201、1202、1203、1204、1205、1206、1209，每间均标配 98 寸智慧黑板、智慧讲台及中控系统，满足中小规模班级互动教学需求，智慧黑板可实现触控操作与多媒体展示，中控系统保障设备统一管控；其二为 150-160 人教室 4 间，编号为 1114、1115、1212、1213，在配备 98 寸智慧黑板、智慧讲台、中控系统基础上，额外增设 2 台 75 寸教学辅屏，拓展教学内容呈现空间，适配大规模班级教学场景，确保后排学生清晰获取教学信息。</w:t>
      </w:r>
    </w:p>
    <w:p w14:paraId="1BE403FF">
      <w:pPr>
        <w:spacing w:line="360" w:lineRule="auto"/>
        <w:ind w:firstLine="420" w:firstLineChars="200"/>
      </w:pPr>
      <w:r>
        <w:rPr>
          <w:rFonts w:hint="eastAsia"/>
        </w:rPr>
        <w:t>同时，项目对智慧教室管理系统进行功能升级，新增教学资源管理平台，整合中医药教学课件、案例、视频等资源，便于师生高效调取与使用，进一步打通教学资源共享渠道，助力教学质量提升。</w:t>
      </w:r>
    </w:p>
    <w:p w14:paraId="58781CB4">
      <w:pPr>
        <w:spacing w:line="360" w:lineRule="auto"/>
        <w:ind w:firstLine="420" w:firstLineChars="200"/>
      </w:pPr>
    </w:p>
    <w:p w14:paraId="24EC6C4E">
      <w:pPr>
        <w:pStyle w:val="3"/>
      </w:pPr>
      <w:r>
        <w:rPr>
          <w:rFonts w:hint="eastAsia"/>
        </w:rPr>
        <w:t>二、项目清单</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4220"/>
        <w:gridCol w:w="1527"/>
        <w:gridCol w:w="1255"/>
      </w:tblGrid>
      <w:tr w14:paraId="0AF09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95" w:type="pct"/>
            <w:noWrap/>
            <w:vAlign w:val="center"/>
          </w:tcPr>
          <w:p w14:paraId="34137953">
            <w:pPr>
              <w:widowControl/>
              <w:jc w:val="center"/>
              <w:rPr>
                <w:rFonts w:hint="eastAsia" w:ascii="微软雅黑" w:hAnsi="微软雅黑" w:eastAsia="微软雅黑" w:cs="宋体"/>
                <w:b/>
                <w:bCs/>
                <w:color w:val="000000"/>
                <w:kern w:val="0"/>
                <w:sz w:val="22"/>
              </w:rPr>
            </w:pPr>
            <w:r>
              <w:rPr>
                <w:rFonts w:hint="eastAsia" w:ascii="微软雅黑" w:hAnsi="微软雅黑" w:eastAsia="微软雅黑" w:cs="宋体"/>
                <w:b/>
                <w:bCs/>
                <w:color w:val="000000"/>
                <w:kern w:val="0"/>
                <w:sz w:val="22"/>
              </w:rPr>
              <w:t>序号</w:t>
            </w:r>
          </w:p>
        </w:tc>
        <w:tc>
          <w:tcPr>
            <w:tcW w:w="2474" w:type="pct"/>
            <w:noWrap/>
            <w:vAlign w:val="center"/>
          </w:tcPr>
          <w:p w14:paraId="6A222237">
            <w:pPr>
              <w:widowControl/>
              <w:jc w:val="center"/>
              <w:rPr>
                <w:rFonts w:hint="eastAsia" w:ascii="微软雅黑" w:hAnsi="微软雅黑" w:eastAsia="微软雅黑" w:cs="宋体"/>
                <w:b/>
                <w:bCs/>
                <w:color w:val="000000"/>
                <w:kern w:val="0"/>
                <w:sz w:val="22"/>
              </w:rPr>
            </w:pPr>
            <w:r>
              <w:rPr>
                <w:rFonts w:hint="eastAsia" w:ascii="微软雅黑" w:hAnsi="微软雅黑" w:eastAsia="微软雅黑" w:cs="宋体"/>
                <w:b/>
                <w:bCs/>
                <w:color w:val="000000"/>
                <w:kern w:val="0"/>
                <w:sz w:val="22"/>
              </w:rPr>
              <w:t>货物名称</w:t>
            </w:r>
          </w:p>
        </w:tc>
        <w:tc>
          <w:tcPr>
            <w:tcW w:w="895" w:type="pct"/>
            <w:noWrap/>
            <w:vAlign w:val="center"/>
          </w:tcPr>
          <w:p w14:paraId="3A87999B">
            <w:pPr>
              <w:widowControl/>
              <w:jc w:val="center"/>
              <w:rPr>
                <w:rFonts w:hint="eastAsia" w:ascii="微软雅黑" w:hAnsi="微软雅黑" w:eastAsia="微软雅黑" w:cs="宋体"/>
                <w:b/>
                <w:bCs/>
                <w:color w:val="000000"/>
                <w:kern w:val="0"/>
                <w:sz w:val="22"/>
              </w:rPr>
            </w:pPr>
            <w:r>
              <w:rPr>
                <w:rFonts w:hint="eastAsia" w:ascii="微软雅黑" w:hAnsi="微软雅黑" w:eastAsia="微软雅黑" w:cs="宋体"/>
                <w:b/>
                <w:bCs/>
                <w:color w:val="000000"/>
                <w:kern w:val="0"/>
                <w:sz w:val="22"/>
              </w:rPr>
              <w:t>数量</w:t>
            </w:r>
          </w:p>
        </w:tc>
        <w:tc>
          <w:tcPr>
            <w:tcW w:w="736" w:type="pct"/>
            <w:noWrap/>
            <w:vAlign w:val="center"/>
          </w:tcPr>
          <w:p w14:paraId="7F1CB249">
            <w:pPr>
              <w:widowControl/>
              <w:jc w:val="center"/>
              <w:rPr>
                <w:rFonts w:hint="eastAsia" w:ascii="微软雅黑" w:hAnsi="微软雅黑" w:eastAsia="微软雅黑" w:cs="宋体"/>
                <w:b/>
                <w:bCs/>
                <w:color w:val="000000"/>
                <w:kern w:val="0"/>
                <w:sz w:val="22"/>
              </w:rPr>
            </w:pPr>
            <w:r>
              <w:rPr>
                <w:rFonts w:hint="eastAsia" w:ascii="微软雅黑" w:hAnsi="微软雅黑" w:eastAsia="微软雅黑" w:cs="宋体"/>
                <w:b/>
                <w:bCs/>
                <w:color w:val="000000"/>
                <w:kern w:val="0"/>
                <w:sz w:val="22"/>
              </w:rPr>
              <w:t>单位</w:t>
            </w:r>
          </w:p>
        </w:tc>
      </w:tr>
      <w:tr w14:paraId="2FB2D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95" w:type="pct"/>
            <w:noWrap/>
            <w:vAlign w:val="center"/>
          </w:tcPr>
          <w:p w14:paraId="4B1EE05F">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w:t>
            </w:r>
          </w:p>
        </w:tc>
        <w:tc>
          <w:tcPr>
            <w:tcW w:w="2474" w:type="pct"/>
            <w:vAlign w:val="center"/>
          </w:tcPr>
          <w:p w14:paraId="7A927214">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98寸智慧黑板</w:t>
            </w:r>
          </w:p>
        </w:tc>
        <w:tc>
          <w:tcPr>
            <w:tcW w:w="895" w:type="pct"/>
            <w:noWrap/>
            <w:vAlign w:val="center"/>
          </w:tcPr>
          <w:p w14:paraId="5F2F53BD">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17</w:t>
            </w:r>
          </w:p>
        </w:tc>
        <w:tc>
          <w:tcPr>
            <w:tcW w:w="736" w:type="pct"/>
            <w:noWrap/>
            <w:vAlign w:val="center"/>
          </w:tcPr>
          <w:p w14:paraId="35AC57D9">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套</w:t>
            </w:r>
          </w:p>
        </w:tc>
      </w:tr>
      <w:tr w14:paraId="0E3F8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95" w:type="pct"/>
            <w:noWrap/>
            <w:vAlign w:val="center"/>
          </w:tcPr>
          <w:p w14:paraId="7C3B9A07">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2</w:t>
            </w:r>
          </w:p>
        </w:tc>
        <w:tc>
          <w:tcPr>
            <w:tcW w:w="2474" w:type="pct"/>
            <w:noWrap/>
            <w:vAlign w:val="center"/>
          </w:tcPr>
          <w:p w14:paraId="159108DD">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kern w:val="0"/>
                <w:sz w:val="20"/>
                <w:szCs w:val="20"/>
              </w:rPr>
              <w:t>1.2米智能讲台</w:t>
            </w:r>
          </w:p>
        </w:tc>
        <w:tc>
          <w:tcPr>
            <w:tcW w:w="895" w:type="pct"/>
            <w:noWrap/>
            <w:vAlign w:val="center"/>
          </w:tcPr>
          <w:p w14:paraId="780DC5BF">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17</w:t>
            </w:r>
          </w:p>
        </w:tc>
        <w:tc>
          <w:tcPr>
            <w:tcW w:w="736" w:type="pct"/>
            <w:noWrap/>
            <w:vAlign w:val="center"/>
          </w:tcPr>
          <w:p w14:paraId="43682AD2">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套</w:t>
            </w:r>
          </w:p>
        </w:tc>
      </w:tr>
      <w:tr w14:paraId="067C3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95" w:type="pct"/>
            <w:noWrap/>
            <w:vAlign w:val="center"/>
          </w:tcPr>
          <w:p w14:paraId="37031498">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3</w:t>
            </w:r>
          </w:p>
        </w:tc>
        <w:tc>
          <w:tcPr>
            <w:tcW w:w="2474" w:type="pct"/>
            <w:noWrap/>
            <w:vAlign w:val="center"/>
          </w:tcPr>
          <w:p w14:paraId="0C39DAB9">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讲台底座</w:t>
            </w:r>
          </w:p>
        </w:tc>
        <w:tc>
          <w:tcPr>
            <w:tcW w:w="895" w:type="pct"/>
            <w:noWrap/>
            <w:vAlign w:val="center"/>
          </w:tcPr>
          <w:p w14:paraId="228893F8">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17</w:t>
            </w:r>
          </w:p>
        </w:tc>
        <w:tc>
          <w:tcPr>
            <w:tcW w:w="736" w:type="pct"/>
            <w:noWrap/>
            <w:vAlign w:val="center"/>
          </w:tcPr>
          <w:p w14:paraId="6CA163BD">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套</w:t>
            </w:r>
          </w:p>
        </w:tc>
      </w:tr>
      <w:tr w14:paraId="561D4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95" w:type="pct"/>
            <w:noWrap/>
            <w:vAlign w:val="center"/>
          </w:tcPr>
          <w:p w14:paraId="656D402C">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4</w:t>
            </w:r>
          </w:p>
        </w:tc>
        <w:tc>
          <w:tcPr>
            <w:tcW w:w="2474" w:type="pct"/>
            <w:vAlign w:val="center"/>
          </w:tcPr>
          <w:p w14:paraId="2B43B68C">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教学辅助屏</w:t>
            </w:r>
          </w:p>
        </w:tc>
        <w:tc>
          <w:tcPr>
            <w:tcW w:w="895" w:type="pct"/>
            <w:vAlign w:val="center"/>
          </w:tcPr>
          <w:p w14:paraId="5FBED52D">
            <w:pPr>
              <w:widowControl/>
              <w:jc w:val="center"/>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8</w:t>
            </w:r>
          </w:p>
        </w:tc>
        <w:tc>
          <w:tcPr>
            <w:tcW w:w="736" w:type="pct"/>
            <w:vAlign w:val="center"/>
          </w:tcPr>
          <w:p w14:paraId="370501A8">
            <w:pPr>
              <w:widowControl/>
              <w:jc w:val="center"/>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台</w:t>
            </w:r>
          </w:p>
        </w:tc>
      </w:tr>
      <w:tr w14:paraId="1FDF2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95" w:type="pct"/>
            <w:noWrap/>
            <w:vAlign w:val="center"/>
          </w:tcPr>
          <w:p w14:paraId="3C996135">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5</w:t>
            </w:r>
          </w:p>
        </w:tc>
        <w:tc>
          <w:tcPr>
            <w:tcW w:w="2474" w:type="pct"/>
            <w:vAlign w:val="center"/>
          </w:tcPr>
          <w:p w14:paraId="63330073">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吊装支架</w:t>
            </w:r>
          </w:p>
        </w:tc>
        <w:tc>
          <w:tcPr>
            <w:tcW w:w="895" w:type="pct"/>
            <w:vAlign w:val="center"/>
          </w:tcPr>
          <w:p w14:paraId="36A51F95">
            <w:pPr>
              <w:widowControl/>
              <w:jc w:val="center"/>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8</w:t>
            </w:r>
          </w:p>
        </w:tc>
        <w:tc>
          <w:tcPr>
            <w:tcW w:w="736" w:type="pct"/>
            <w:vAlign w:val="center"/>
          </w:tcPr>
          <w:p w14:paraId="77B96EDE">
            <w:pPr>
              <w:widowControl/>
              <w:jc w:val="center"/>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套</w:t>
            </w:r>
          </w:p>
        </w:tc>
      </w:tr>
      <w:tr w14:paraId="70901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95" w:type="pct"/>
            <w:noWrap/>
            <w:vAlign w:val="center"/>
          </w:tcPr>
          <w:p w14:paraId="5029C2CE">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6</w:t>
            </w:r>
          </w:p>
        </w:tc>
        <w:tc>
          <w:tcPr>
            <w:tcW w:w="2474" w:type="pct"/>
            <w:vAlign w:val="center"/>
          </w:tcPr>
          <w:p w14:paraId="6D232A81">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HDMI传输器</w:t>
            </w:r>
          </w:p>
        </w:tc>
        <w:tc>
          <w:tcPr>
            <w:tcW w:w="895" w:type="pct"/>
            <w:vAlign w:val="center"/>
          </w:tcPr>
          <w:p w14:paraId="7922969D">
            <w:pPr>
              <w:widowControl/>
              <w:jc w:val="center"/>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4</w:t>
            </w:r>
          </w:p>
        </w:tc>
        <w:tc>
          <w:tcPr>
            <w:tcW w:w="736" w:type="pct"/>
            <w:vAlign w:val="center"/>
          </w:tcPr>
          <w:p w14:paraId="3EF8F9B3">
            <w:pPr>
              <w:widowControl/>
              <w:jc w:val="center"/>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套</w:t>
            </w:r>
          </w:p>
        </w:tc>
      </w:tr>
      <w:tr w14:paraId="3901C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95" w:type="pct"/>
            <w:noWrap/>
            <w:vAlign w:val="center"/>
          </w:tcPr>
          <w:p w14:paraId="6361DF7A">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7</w:t>
            </w:r>
          </w:p>
        </w:tc>
        <w:tc>
          <w:tcPr>
            <w:tcW w:w="2474" w:type="pct"/>
            <w:vAlign w:val="center"/>
          </w:tcPr>
          <w:p w14:paraId="3CC72875">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全域物联网中控</w:t>
            </w:r>
          </w:p>
        </w:tc>
        <w:tc>
          <w:tcPr>
            <w:tcW w:w="895" w:type="pct"/>
            <w:noWrap/>
            <w:vAlign w:val="center"/>
          </w:tcPr>
          <w:p w14:paraId="3F67E1E0">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17</w:t>
            </w:r>
          </w:p>
        </w:tc>
        <w:tc>
          <w:tcPr>
            <w:tcW w:w="736" w:type="pct"/>
            <w:vAlign w:val="center"/>
          </w:tcPr>
          <w:p w14:paraId="0F513242">
            <w:pPr>
              <w:widowControl/>
              <w:jc w:val="center"/>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台</w:t>
            </w:r>
          </w:p>
        </w:tc>
      </w:tr>
      <w:tr w14:paraId="40DF1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95" w:type="pct"/>
            <w:noWrap/>
            <w:vAlign w:val="center"/>
          </w:tcPr>
          <w:p w14:paraId="14222869">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8</w:t>
            </w:r>
          </w:p>
        </w:tc>
        <w:tc>
          <w:tcPr>
            <w:tcW w:w="2474" w:type="pct"/>
            <w:vAlign w:val="center"/>
          </w:tcPr>
          <w:p w14:paraId="7D74F7D7">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可编程控制面板</w:t>
            </w:r>
          </w:p>
        </w:tc>
        <w:tc>
          <w:tcPr>
            <w:tcW w:w="895" w:type="pct"/>
            <w:noWrap/>
            <w:vAlign w:val="center"/>
          </w:tcPr>
          <w:p w14:paraId="0B55000D">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17</w:t>
            </w:r>
          </w:p>
        </w:tc>
        <w:tc>
          <w:tcPr>
            <w:tcW w:w="736" w:type="pct"/>
            <w:vAlign w:val="center"/>
          </w:tcPr>
          <w:p w14:paraId="56EF9976">
            <w:pPr>
              <w:widowControl/>
              <w:jc w:val="center"/>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台</w:t>
            </w:r>
          </w:p>
        </w:tc>
      </w:tr>
      <w:tr w14:paraId="20FDF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95" w:type="pct"/>
            <w:noWrap/>
            <w:vAlign w:val="center"/>
          </w:tcPr>
          <w:p w14:paraId="49FC6081">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9</w:t>
            </w:r>
          </w:p>
        </w:tc>
        <w:tc>
          <w:tcPr>
            <w:tcW w:w="2474" w:type="pct"/>
            <w:noWrap/>
            <w:vAlign w:val="center"/>
          </w:tcPr>
          <w:p w14:paraId="720F1020">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辅材</w:t>
            </w:r>
          </w:p>
        </w:tc>
        <w:tc>
          <w:tcPr>
            <w:tcW w:w="895" w:type="pct"/>
            <w:noWrap/>
            <w:vAlign w:val="center"/>
          </w:tcPr>
          <w:p w14:paraId="46EA7E9B">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w:t>
            </w:r>
          </w:p>
        </w:tc>
        <w:tc>
          <w:tcPr>
            <w:tcW w:w="736" w:type="pct"/>
            <w:noWrap/>
            <w:vAlign w:val="center"/>
          </w:tcPr>
          <w:p w14:paraId="2D07D833">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批</w:t>
            </w:r>
          </w:p>
        </w:tc>
      </w:tr>
      <w:tr w14:paraId="2761A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95" w:type="pct"/>
            <w:noWrap/>
            <w:vAlign w:val="center"/>
          </w:tcPr>
          <w:p w14:paraId="6826F455">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10</w:t>
            </w:r>
          </w:p>
        </w:tc>
        <w:tc>
          <w:tcPr>
            <w:tcW w:w="2474" w:type="pct"/>
            <w:noWrap/>
            <w:vAlign w:val="center"/>
          </w:tcPr>
          <w:p w14:paraId="39785937">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线路预埋</w:t>
            </w:r>
          </w:p>
        </w:tc>
        <w:tc>
          <w:tcPr>
            <w:tcW w:w="895" w:type="pct"/>
            <w:noWrap/>
            <w:vAlign w:val="center"/>
          </w:tcPr>
          <w:p w14:paraId="590361E1">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w:t>
            </w:r>
          </w:p>
        </w:tc>
        <w:tc>
          <w:tcPr>
            <w:tcW w:w="736" w:type="pct"/>
            <w:noWrap/>
            <w:vAlign w:val="center"/>
          </w:tcPr>
          <w:p w14:paraId="71CED8D7">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项</w:t>
            </w:r>
          </w:p>
        </w:tc>
      </w:tr>
      <w:tr w14:paraId="787D2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95" w:type="pct"/>
            <w:noWrap/>
            <w:vAlign w:val="center"/>
          </w:tcPr>
          <w:p w14:paraId="67D2AE2C">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11</w:t>
            </w:r>
          </w:p>
        </w:tc>
        <w:tc>
          <w:tcPr>
            <w:tcW w:w="2474" w:type="pct"/>
            <w:vAlign w:val="center"/>
          </w:tcPr>
          <w:p w14:paraId="1870B025">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教学资源管理平台</w:t>
            </w:r>
          </w:p>
        </w:tc>
        <w:tc>
          <w:tcPr>
            <w:tcW w:w="895" w:type="pct"/>
            <w:noWrap/>
            <w:vAlign w:val="center"/>
          </w:tcPr>
          <w:p w14:paraId="36222CF8">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w:t>
            </w:r>
          </w:p>
        </w:tc>
        <w:tc>
          <w:tcPr>
            <w:tcW w:w="736" w:type="pct"/>
            <w:vAlign w:val="center"/>
          </w:tcPr>
          <w:p w14:paraId="58240267">
            <w:pPr>
              <w:widowControl/>
              <w:jc w:val="center"/>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套</w:t>
            </w:r>
          </w:p>
        </w:tc>
      </w:tr>
      <w:tr w14:paraId="45000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95" w:type="pct"/>
            <w:noWrap/>
            <w:vAlign w:val="center"/>
          </w:tcPr>
          <w:p w14:paraId="737098EA">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12</w:t>
            </w:r>
          </w:p>
        </w:tc>
        <w:tc>
          <w:tcPr>
            <w:tcW w:w="2474" w:type="pct"/>
            <w:vAlign w:val="center"/>
          </w:tcPr>
          <w:p w14:paraId="41A74A1C">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数字电源保护系统</w:t>
            </w:r>
          </w:p>
        </w:tc>
        <w:tc>
          <w:tcPr>
            <w:tcW w:w="895" w:type="pct"/>
            <w:noWrap/>
            <w:vAlign w:val="center"/>
          </w:tcPr>
          <w:p w14:paraId="49D2ECD0">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w:t>
            </w:r>
          </w:p>
        </w:tc>
        <w:tc>
          <w:tcPr>
            <w:tcW w:w="736" w:type="pct"/>
            <w:vAlign w:val="center"/>
          </w:tcPr>
          <w:p w14:paraId="3BD3BCD5">
            <w:pPr>
              <w:widowControl/>
              <w:jc w:val="center"/>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台</w:t>
            </w:r>
          </w:p>
        </w:tc>
      </w:tr>
    </w:tbl>
    <w:p w14:paraId="03DD9E63">
      <w:pPr>
        <w:pStyle w:val="22"/>
        <w:spacing w:line="360" w:lineRule="auto"/>
        <w:ind w:left="720" w:firstLine="0" w:firstLineChars="0"/>
        <w:rPr>
          <w:rFonts w:hint="eastAsia" w:asciiTheme="minorEastAsia" w:hAnsiTheme="minorEastAsia"/>
          <w:b/>
          <w:bCs/>
          <w:sz w:val="28"/>
          <w:szCs w:val="28"/>
        </w:rPr>
      </w:pPr>
    </w:p>
    <w:p w14:paraId="1D03A330">
      <w:pPr>
        <w:pStyle w:val="3"/>
      </w:pPr>
      <w:r>
        <w:rPr>
          <w:rFonts w:hint="eastAsia"/>
        </w:rPr>
        <w:t>三、技术参数</w:t>
      </w:r>
    </w:p>
    <w:tbl>
      <w:tblPr>
        <w:tblStyle w:val="11"/>
        <w:tblW w:w="5466" w:type="pct"/>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721"/>
        <w:gridCol w:w="6946"/>
      </w:tblGrid>
      <w:tr w14:paraId="58D11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52" w:type="pct"/>
            <w:noWrap/>
            <w:vAlign w:val="center"/>
          </w:tcPr>
          <w:p w14:paraId="603BC58A">
            <w:pPr>
              <w:widowControl/>
              <w:jc w:val="center"/>
              <w:rPr>
                <w:rFonts w:hint="eastAsia" w:ascii="微软雅黑" w:hAnsi="微软雅黑" w:eastAsia="微软雅黑" w:cs="宋体"/>
                <w:b/>
                <w:bCs/>
                <w:color w:val="000000"/>
                <w:kern w:val="0"/>
                <w:sz w:val="22"/>
              </w:rPr>
            </w:pPr>
            <w:r>
              <w:rPr>
                <w:rFonts w:hint="eastAsia" w:ascii="微软雅黑" w:hAnsi="微软雅黑" w:eastAsia="微软雅黑" w:cs="宋体"/>
                <w:b/>
                <w:bCs/>
                <w:color w:val="000000"/>
                <w:kern w:val="0"/>
                <w:sz w:val="22"/>
              </w:rPr>
              <w:t>序号</w:t>
            </w:r>
          </w:p>
        </w:tc>
        <w:tc>
          <w:tcPr>
            <w:tcW w:w="923" w:type="pct"/>
            <w:noWrap/>
            <w:vAlign w:val="center"/>
          </w:tcPr>
          <w:p w14:paraId="70163824">
            <w:pPr>
              <w:widowControl/>
              <w:jc w:val="center"/>
              <w:rPr>
                <w:rFonts w:hint="eastAsia" w:ascii="微软雅黑" w:hAnsi="微软雅黑" w:eastAsia="微软雅黑" w:cs="宋体"/>
                <w:b/>
                <w:bCs/>
                <w:color w:val="000000"/>
                <w:kern w:val="0"/>
                <w:sz w:val="22"/>
              </w:rPr>
            </w:pPr>
            <w:r>
              <w:rPr>
                <w:rFonts w:hint="eastAsia" w:ascii="微软雅黑" w:hAnsi="微软雅黑" w:eastAsia="微软雅黑" w:cs="宋体"/>
                <w:b/>
                <w:bCs/>
                <w:color w:val="000000"/>
                <w:kern w:val="0"/>
                <w:sz w:val="22"/>
              </w:rPr>
              <w:t>货物名称</w:t>
            </w:r>
          </w:p>
        </w:tc>
        <w:tc>
          <w:tcPr>
            <w:tcW w:w="3725" w:type="pct"/>
            <w:noWrap/>
            <w:vAlign w:val="center"/>
          </w:tcPr>
          <w:p w14:paraId="1F74A455">
            <w:pPr>
              <w:widowControl/>
              <w:jc w:val="center"/>
              <w:rPr>
                <w:rFonts w:hint="eastAsia" w:ascii="微软雅黑" w:hAnsi="微软雅黑" w:eastAsia="微软雅黑" w:cs="宋体"/>
                <w:b/>
                <w:bCs/>
                <w:color w:val="000000"/>
                <w:kern w:val="0"/>
                <w:sz w:val="22"/>
              </w:rPr>
            </w:pPr>
            <w:r>
              <w:rPr>
                <w:rFonts w:hint="eastAsia" w:ascii="微软雅黑" w:hAnsi="微软雅黑" w:eastAsia="微软雅黑" w:cs="宋体"/>
                <w:b/>
                <w:bCs/>
                <w:color w:val="000000"/>
                <w:kern w:val="0"/>
                <w:sz w:val="22"/>
              </w:rPr>
              <w:t>主要技术指标</w:t>
            </w:r>
          </w:p>
        </w:tc>
      </w:tr>
      <w:tr w14:paraId="069CB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52" w:type="pct"/>
            <w:noWrap/>
            <w:vAlign w:val="center"/>
          </w:tcPr>
          <w:p w14:paraId="6761548E">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w:t>
            </w:r>
          </w:p>
        </w:tc>
        <w:tc>
          <w:tcPr>
            <w:tcW w:w="923" w:type="pct"/>
            <w:vAlign w:val="center"/>
          </w:tcPr>
          <w:p w14:paraId="1BF5AE45">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98寸智慧黑板</w:t>
            </w:r>
          </w:p>
        </w:tc>
        <w:tc>
          <w:tcPr>
            <w:tcW w:w="3725" w:type="pct"/>
            <w:vAlign w:val="center"/>
          </w:tcPr>
          <w:p w14:paraId="33150C6E">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1.整体外观尺寸：宽≥4500mm，高≥1350mm，厚≤102mm。</w:t>
            </w:r>
          </w:p>
          <w:p w14:paraId="498AB698">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2.整机屏幕边缘采用金属圆角包边防护，背板采用金属材质，屏蔽内部电路器件辐射。无推拉式结构，外部无任何可见内部功能模块连接线。主副屏过渡平滑并在同一平面，中间无单独边框阻隔。</w:t>
            </w:r>
          </w:p>
          <w:p w14:paraId="698BCEDE">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3.主屏支持普通粉笔直接书写，两侧副屏可支持普通粉笔、液体粉笔、成膜笔等进行板书书写。整机主屏书写面板采用耐磨玻璃材质，长期书写情况下面板磨损导致的雾度不超过2%。</w:t>
            </w:r>
          </w:p>
          <w:p w14:paraId="338BF8D6">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4.整机屏幕≥98英寸，UHD超高清LED液晶屏，显示比例16:9，分辨率≥3840×2160。</w:t>
            </w:r>
          </w:p>
          <w:p w14:paraId="1BD5E995">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 xml:space="preserve">5.侧置输入接口至少具备2路HDMI、1路RS232、1路USB接口；侧置输出接口至少具备1路音频输出、1路触控USB输出；前置输入接口≥3路USB接口（不少于1路Type-C、2路Type-A）。 </w:t>
            </w:r>
          </w:p>
          <w:p w14:paraId="786EC9AC">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6.通过视觉舒适度(VICO)评价体系测试，并达到视觉舒适度A+级。</w:t>
            </w:r>
          </w:p>
          <w:p w14:paraId="4D3BD5CD">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7.整机需符合GB 21520-2023 的能源效率等级1级要求。</w:t>
            </w:r>
          </w:p>
          <w:p w14:paraId="0B85FF4E">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8.整机内置扬声器，位于设备上边框，顶置朝前发声。屏幕上边框内置非独立式摄像头（不接受外置摄像头），摄像头数量≥4个。摄像头运行时，有指示灯提示；电脑模块和整机的连接接口针脚数≤40pin，采用按压式卡扣锁紧机构，无需工具即可拆卸。</w:t>
            </w:r>
          </w:p>
          <w:p w14:paraId="2EA0010B">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9.上边框内置非独立式摄像头≥3个，视场角≥141度且水平视场角≥139度，可拍摄≥1600万像素的照片，支持输出8192×2048分辨率的照片，支持画面畸变矫正功能。</w:t>
            </w:r>
          </w:p>
          <w:p w14:paraId="4B54D531">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10.整机内置2.2声道扬声器，其中前朝向10W高音扬声器≥2个，上朝向20W中低音扬声器≥2个。整机内置非独立外扩展的8阵列麦克风，拾音角度≥180°，可用于对教室环境音频进行采集，拾音距离≥12m。内置扬声器采用缝隙发声技术，喇叭采用槽式开口设计，不大于5.8mm。</w:t>
            </w:r>
          </w:p>
          <w:p w14:paraId="10839C9C">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11.整机内置双wifi6无线网卡（不接受外接），支持蓝牙Bluetooth 5.4标准。支持标准、听力、观影和AI空间感知音效模式，AI空间感知音效模式可通过内置麦克风采集教室物理环境声音，自动生成符合当前教室物理环境的频段、音量、音效。</w:t>
            </w:r>
          </w:p>
          <w:p w14:paraId="241BBE0D">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12.内置教学应用软件可通过wifi直连技术，近场发现附近教学大屏设备，无需扫码、账号密码输入步骤，即可直接连接并登录教学大屏设备，基于统一身份认证机制可实现其他教学软件免登录操作。</w:t>
            </w:r>
          </w:p>
          <w:p w14:paraId="5756C719">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13.整机内置文件传输应用，支持通过扫码、wifi直连（设备近场发现）方式与手机进行握手连接，实现文件传输功能。无需借助三方应用和网页，可直接通过微信小程序将微信聊天记录中的文档、图片、视频传输到大屏设备。</w:t>
            </w:r>
          </w:p>
          <w:p w14:paraId="3720E3C6">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14.整机支持色彩空间选择，至少包含标准模式和sRGB模式，在sRGB模式下可做到高色准△E≤1.0。整机全通道支持纸质护眼模式，可以实现画面纹理的实时调整；支持纸质纹理：牛皮纸、素描纸、宣纸、水彩纸、水纹纸；支持透明度调节；支持色温调节。纸质护眼模式下，显示画面各像素点灰度不规则，减少背景干扰。</w:t>
            </w:r>
          </w:p>
          <w:p w14:paraId="03CEE6AB">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15.支持通道自动跳转功能，如整机处于正常使用状态，HDMI信号接入时，能自动识别并切换到对应的HDMI信号源通道，且断开后能回到上一通道。支持通道记忆功能，开机默认回到最近一次关机时的显示通道。</w:t>
            </w:r>
          </w:p>
          <w:p w14:paraId="3373E964">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16.整机具备智能手势识别功能，在整机全信号源通道下均可识别五指上、下、左、右方向手势，五指画 O、画~、左右晃动、缩/放方向手势滑动并调用相应功能。支持将各手势滑动方向自定义设置为无操作、熄屏、批注、桌面、半屏模式。</w:t>
            </w:r>
          </w:p>
          <w:p w14:paraId="00CD6ECF">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17.整机前置按键≤6个，支持5个自定义前置按键，包括“设置”、“音量-”，“音量+”，“录屏”，“护眼”按键等，可通过自定义设置实现前置面板功能按键一键启用任一全局小工具（包括批注、截屏、降半屏、放大镜、倒数日、日历）、快捷开关（包括纸质护眼模式、经典护眼模式、自动亮度模式）。</w:t>
            </w:r>
          </w:p>
          <w:p w14:paraId="6420A7A1">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 xml:space="preserve">18.整机内置传屏接收模块，不需要连接任何附加设备，可实现外部电脑、手机设备的音视频信号实时传输到整机上；当使用外部电脑传屏时，支持触摸回传，在屏幕上部显示传屏工具栏，可以进行触摸回传控制、勿扰模式、暂停投屏功能；开启勿扰模式时，不允许其他人再进行传屏；投屏时可以选择过滤特定应用窗口，如邮件应用等窗口。 </w:t>
            </w:r>
          </w:p>
          <w:p w14:paraId="53CBC0AD">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19. PC模块采用国产自主可控C86处理器，≥8 核 ≥16 线程，三级缓存≥16MB，主频≥3.0GHz，最高主频≥3.3GHz。内存：≥16GB。硬盘：≥512GB固态硬盘，独立显卡。预装正版国产操作系统。</w:t>
            </w:r>
          </w:p>
          <w:p w14:paraId="4AAB9572">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20. PC模块采用可抽拉式插入整机，可实现无单独接线的插拔。和整机的连接采用万兆级接口，传输速率≥10Gbps。具有独立非外扩展的视频输出接口：≥1路HDMI 。具有独立非外扩展的电脑USB接口：≥3路USB。具有标准PC防盗锁孔。</w:t>
            </w:r>
          </w:p>
          <w:p w14:paraId="33912622">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21.备授课一体化。具有备课模式及授课模式，支持老师个人账号注册登录使用，也可通过USB key进行身份快速识别登录。支持课件云存储，无需使用U盘等存储设备，老师只需联网登录即可获取云课件。</w:t>
            </w:r>
          </w:p>
          <w:p w14:paraId="6270B985">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22.支持点对点分享云课件，用户可在软件中直接将课件发送给其它用户，同时也可以在软件中直接接收并打开其它用户分享的课件；同时支持链接分享课件，接收方打开链接后可直接输入账号获取课件。</w:t>
            </w:r>
          </w:p>
          <w:p w14:paraId="198A14FC">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23.支持用户在软件中打开pptx格式文件，且用户可在软件中自由编辑原文件中的图片、文字、表格等元素，并支持修改原文件中的动画。方便老师利用软件互动功能在原有PPT基础上修改课件。</w:t>
            </w:r>
          </w:p>
          <w:p w14:paraId="6153D013">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24.为使用方全体教师配备个人账号，形成一体的信息化教学账号体系；根据教师账号信息将教师云空间匹配至对应学校、学科校本资源库。</w:t>
            </w:r>
          </w:p>
          <w:p w14:paraId="67626282">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 xml:space="preserve">25.支持PPT解析课件、互动云课件和云端资源调用等多种备课方式。教师可直接在课件中调取试题、微课视频、仿真实验等云端资源，可创建试题、课堂互动游戏、思维导图、网络画板、学科工具形成互动课件。 </w:t>
            </w:r>
          </w:p>
          <w:p w14:paraId="3B2B4902">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26.互动课件内容的编辑修改无需人为保存，可自动同步至云空间。本地课件不会自动同步到云空间。编辑多份互动课件时，教师可一键将所有处于编辑状态的课件同步到互动课件云空间。</w:t>
            </w:r>
          </w:p>
        </w:tc>
      </w:tr>
      <w:tr w14:paraId="066A5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52" w:type="pct"/>
            <w:noWrap/>
            <w:vAlign w:val="center"/>
          </w:tcPr>
          <w:p w14:paraId="453A96A8">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2</w:t>
            </w:r>
          </w:p>
        </w:tc>
        <w:tc>
          <w:tcPr>
            <w:tcW w:w="923" w:type="pct"/>
            <w:noWrap/>
            <w:vAlign w:val="center"/>
          </w:tcPr>
          <w:p w14:paraId="73B27D3A">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B050"/>
                <w:kern w:val="0"/>
                <w:sz w:val="20"/>
                <w:szCs w:val="20"/>
              </w:rPr>
              <w:t>1.2米</w:t>
            </w:r>
            <w:r>
              <w:rPr>
                <w:rFonts w:hint="eastAsia" w:ascii="微软雅黑" w:hAnsi="微软雅黑" w:eastAsia="微软雅黑" w:cs="宋体"/>
                <w:color w:val="000000"/>
                <w:kern w:val="0"/>
                <w:sz w:val="20"/>
                <w:szCs w:val="20"/>
              </w:rPr>
              <w:t>智能讲台</w:t>
            </w:r>
          </w:p>
        </w:tc>
        <w:tc>
          <w:tcPr>
            <w:tcW w:w="3725" w:type="pct"/>
            <w:vAlign w:val="center"/>
          </w:tcPr>
          <w:p w14:paraId="5854EF49">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讲台触摸屏要求：</w:t>
            </w:r>
          </w:p>
          <w:p w14:paraId="4D6CA9B9">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1.屏体的屏幕采用≥23.8英寸电容触摸屏（简称：屏幕）且采用防眩光钢化玻璃面板，厚度≥2mm；支持≥10点触控；支持屏幕手动角度调节，可实现与桌面形成20°至80°角度调节；</w:t>
            </w:r>
          </w:p>
          <w:p w14:paraId="5CB7EEC1">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2.屏体侧面具有物理实体快捷按键≥6个，按键功能包括对屏幕一键开/关屏幕、对品目1智慧黑板等大屏设备进行一键熄屏以及一键音量加、一键音量减。</w:t>
            </w:r>
          </w:p>
          <w:p w14:paraId="174F4612">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3.屏体侧边具有≥2路USB数据口，可接入U盘等设备，且可被匹配的大屏识别和通讯；≥1路Type-C和HDMI IN接口，均可单路将连接外界笔记本电脑画面显示在屏幕及匹配的大屏上，其中Type-C还可连接外接移动桌面系统终端（如PAD、笔记本、手机等）即可将移动桌面系统终端画面显示在主屏幕及匹配的大屏上并可用于充电；具有≥1个220V国标五插电源接口，支持对外供电。</w:t>
            </w:r>
          </w:p>
          <w:p w14:paraId="573FDFDA">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4.屏体底座内置接口：HDMI IN≥2个；HDMI OUT≥1个;USB≥4个；RJ45≥1个；AUDIO OUT≥1个；RS232≥1个。</w:t>
            </w:r>
          </w:p>
          <w:p w14:paraId="487B9AB1">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5.屏体侧边内置NFC模块；讲台屏至少支持NFC刷卡、二维码2种方式实现设备使用前的用户身份认证。</w:t>
            </w:r>
          </w:p>
          <w:p w14:paraId="48EA52BD">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6.屏幕可调出中控菜单界面，支持一键上课及下课两种场景控制，也可以对连接的设备单独控制开关机；支持对屏幕输入源显示画面切换，包括HDMI、Type-C；当接入匹配教室内的录播主机时，可显示录播导播流画面，选择开始录制、暂停录制和结束录制等功能；有物联产品接入匹配教室时，可视化显示物联设备且可进行应用场景化管理；</w:t>
            </w:r>
          </w:p>
          <w:p w14:paraId="6074FFB7">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7.</w:t>
            </w:r>
            <w:r>
              <w:rPr>
                <w:rFonts w:hint="eastAsia" w:ascii="微软雅黑" w:hAnsi="微软雅黑" w:eastAsia="微软雅黑" w:cs="宋体"/>
                <w:kern w:val="0"/>
                <w:sz w:val="20"/>
                <w:szCs w:val="20"/>
              </w:rPr>
              <w:tab/>
            </w:r>
            <w:r>
              <w:rPr>
                <w:rFonts w:hint="eastAsia" w:ascii="微软雅黑" w:hAnsi="微软雅黑" w:eastAsia="微软雅黑" w:cs="宋体"/>
                <w:kern w:val="0"/>
                <w:sz w:val="20"/>
                <w:szCs w:val="20"/>
              </w:rPr>
              <w:t>讲台屏具备教学课件(PPT、PPTX、ENBX)提示功能，课件进入放映模式后，在讲台工作台区域显示下一页课件和当前页课件备注，并支持通过讲台工作台区域进行上下页切换；教学课件提示支持常见的课件软件使用，包含 Office、WPS、教学白板，支持常见的课件格式提示，包含 ppt、pptx、enbx。</w:t>
            </w:r>
          </w:p>
          <w:p w14:paraId="0382EE45">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8.</w:t>
            </w:r>
            <w:r>
              <w:rPr>
                <w:rFonts w:hint="eastAsia" w:ascii="微软雅黑" w:hAnsi="微软雅黑" w:eastAsia="微软雅黑" w:cs="宋体"/>
                <w:kern w:val="0"/>
                <w:sz w:val="20"/>
                <w:szCs w:val="20"/>
              </w:rPr>
              <w:tab/>
            </w:r>
            <w:r>
              <w:rPr>
                <w:rFonts w:hint="eastAsia" w:ascii="微软雅黑" w:hAnsi="微软雅黑" w:eastAsia="微软雅黑" w:cs="宋体"/>
                <w:kern w:val="0"/>
                <w:sz w:val="20"/>
                <w:szCs w:val="20"/>
              </w:rPr>
              <w:t>讲台屏具备教学工具，支持通过讲台工作台区域快速打开教学工具，包含批注、放大镜、白板、计时器、随机抽选、返回桌面。</w:t>
            </w:r>
          </w:p>
          <w:p w14:paraId="50FB77ED">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9.讲台屏具备U 盘隐私操作功能，当在大屏或讲台插入 U盘后，可以选择在讲台上安全打开U 盘，打开后U 盘上内容仅讲台上可见;点击U盘内容后，可以在大屏上打开该内容。</w:t>
            </w:r>
          </w:p>
          <w:p w14:paraId="5A34950A">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10.讲台屏支持多屏幕画面切换功能：接入拼接使用的大屏时，可以通过讲台屏体预览多个显示画面，并且支持通过讲台切换画面，切换后支持触控对应画面。</w:t>
            </w:r>
          </w:p>
          <w:p w14:paraId="2E468796">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11.讲台屏具备锁屏功能，可以选择无密码锁屏、密码锁屏扫码锁屏方式进行锁屏，锁屏后每次设备开机都将自动进入锁屏界面。</w:t>
            </w:r>
          </w:p>
          <w:p w14:paraId="62CC4EFF">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讲台桌体要求：</w:t>
            </w:r>
          </w:p>
          <w:p w14:paraId="0E0E698E">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1.钢木结合讲桌,采用冷轧钢板桌体,钢版厚度≥1.0mm；讲桌采用双层木质桌面，上下层桌体木板厚度≥18mm。</w:t>
            </w:r>
          </w:p>
          <w:p w14:paraId="59F41C8A">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2.讲桌最大承重为≥120kg，讲桌具备垂直平面水平位置≥110N推力位移仍不超过5mm的移动。</w:t>
            </w:r>
          </w:p>
          <w:p w14:paraId="04F7BD91">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3.讲桌长×宽×高≥1217mm×670mm×987mm，环抱老师式设计，符合人体力学设计，讲台桌面高度合适老师放置教学用品。</w:t>
            </w:r>
          </w:p>
          <w:p w14:paraId="2F301894">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4.底部机柜长×宽×高≥1100mm×545mm×520mm，机柜容量≥10U,可适装标准19英寸系列网络、通讯类产品，机柜内部带有标准机架和标准电脑主机空间，主机柜门带有小门，无需打开柜门即可开关电脑。机柜门采用大面积散热孔设计，易于柜内设备的通风散热，避免设备损坏。</w:t>
            </w:r>
          </w:p>
          <w:p w14:paraId="217AFDE1">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5.讲台正面支持学校LOGO定制。</w:t>
            </w:r>
          </w:p>
        </w:tc>
      </w:tr>
      <w:tr w14:paraId="35CDA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52" w:type="pct"/>
            <w:noWrap/>
            <w:vAlign w:val="center"/>
          </w:tcPr>
          <w:p w14:paraId="37DD1746">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3</w:t>
            </w:r>
          </w:p>
        </w:tc>
        <w:tc>
          <w:tcPr>
            <w:tcW w:w="923" w:type="pct"/>
            <w:noWrap/>
            <w:vAlign w:val="center"/>
          </w:tcPr>
          <w:p w14:paraId="37D2B21F">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讲台底座</w:t>
            </w:r>
          </w:p>
        </w:tc>
        <w:tc>
          <w:tcPr>
            <w:tcW w:w="3725" w:type="pct"/>
            <w:vAlign w:val="center"/>
          </w:tcPr>
          <w:p w14:paraId="25C40F60">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1.讲桌底座尺寸设计为长×宽≥1100mm×545mm，高度和教室地台相适应。</w:t>
            </w:r>
          </w:p>
          <w:p w14:paraId="29081300">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2.和讲台主体相同材质、相同色调。</w:t>
            </w:r>
          </w:p>
        </w:tc>
      </w:tr>
      <w:tr w14:paraId="73EE0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52" w:type="pct"/>
            <w:noWrap/>
            <w:vAlign w:val="center"/>
          </w:tcPr>
          <w:p w14:paraId="2CD6FE8B">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4</w:t>
            </w:r>
          </w:p>
        </w:tc>
        <w:tc>
          <w:tcPr>
            <w:tcW w:w="923" w:type="pct"/>
            <w:vAlign w:val="center"/>
          </w:tcPr>
          <w:p w14:paraId="4EEFED4B">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教学辅助屏</w:t>
            </w:r>
          </w:p>
        </w:tc>
        <w:tc>
          <w:tcPr>
            <w:tcW w:w="3725" w:type="pct"/>
            <w:vAlign w:val="center"/>
          </w:tcPr>
          <w:p w14:paraId="656F2512">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1、屏幕尺寸≥75英寸</w:t>
            </w:r>
            <w:r>
              <w:rPr>
                <w:rFonts w:hint="eastAsia" w:ascii="微软雅黑" w:hAnsi="微软雅黑" w:eastAsia="微软雅黑" w:cs="宋体"/>
                <w:kern w:val="0"/>
                <w:sz w:val="20"/>
                <w:szCs w:val="20"/>
              </w:rPr>
              <w:br w:type="textWrapping"/>
            </w:r>
            <w:r>
              <w:rPr>
                <w:rFonts w:hint="eastAsia" w:ascii="微软雅黑" w:hAnsi="微软雅黑" w:eastAsia="微软雅黑" w:cs="宋体"/>
                <w:kern w:val="0"/>
                <w:sz w:val="20"/>
                <w:szCs w:val="20"/>
              </w:rPr>
              <w:t>2、支持格式（高清）2160p</w:t>
            </w:r>
            <w:r>
              <w:rPr>
                <w:rFonts w:hint="eastAsia" w:ascii="微软雅黑" w:hAnsi="微软雅黑" w:eastAsia="微软雅黑" w:cs="宋体"/>
                <w:kern w:val="0"/>
                <w:sz w:val="20"/>
                <w:szCs w:val="20"/>
              </w:rPr>
              <w:br w:type="textWrapping"/>
            </w:r>
            <w:r>
              <w:rPr>
                <w:rFonts w:hint="eastAsia" w:ascii="微软雅黑" w:hAnsi="微软雅黑" w:eastAsia="微软雅黑" w:cs="宋体"/>
                <w:kern w:val="0"/>
                <w:sz w:val="20"/>
                <w:szCs w:val="20"/>
              </w:rPr>
              <w:t>3、屏幕分辨率 超高清4K</w:t>
            </w:r>
            <w:r>
              <w:rPr>
                <w:rFonts w:hint="eastAsia" w:ascii="微软雅黑" w:hAnsi="微软雅黑" w:eastAsia="微软雅黑" w:cs="宋体"/>
                <w:kern w:val="0"/>
                <w:sz w:val="20"/>
                <w:szCs w:val="20"/>
              </w:rPr>
              <w:br w:type="textWrapping"/>
            </w:r>
            <w:r>
              <w:rPr>
                <w:rFonts w:hint="eastAsia" w:ascii="微软雅黑" w:hAnsi="微软雅黑" w:eastAsia="微软雅黑" w:cs="宋体"/>
                <w:kern w:val="0"/>
                <w:sz w:val="20"/>
                <w:szCs w:val="20"/>
              </w:rPr>
              <w:t>4、色域值 100%</w:t>
            </w:r>
            <w:r>
              <w:rPr>
                <w:rFonts w:hint="eastAsia" w:ascii="微软雅黑" w:hAnsi="微软雅黑" w:eastAsia="微软雅黑" w:cs="宋体"/>
                <w:kern w:val="0"/>
                <w:sz w:val="20"/>
                <w:szCs w:val="20"/>
              </w:rPr>
              <w:br w:type="textWrapping"/>
            </w:r>
            <w:r>
              <w:rPr>
                <w:rFonts w:hint="eastAsia" w:ascii="微软雅黑" w:hAnsi="微软雅黑" w:eastAsia="微软雅黑" w:cs="宋体"/>
                <w:kern w:val="0"/>
                <w:sz w:val="20"/>
                <w:szCs w:val="20"/>
              </w:rPr>
              <w:t>5、亮度 300-500尼特</w:t>
            </w:r>
            <w:r>
              <w:rPr>
                <w:rFonts w:hint="eastAsia" w:ascii="微软雅黑" w:hAnsi="微软雅黑" w:eastAsia="微软雅黑" w:cs="宋体"/>
                <w:kern w:val="0"/>
                <w:sz w:val="20"/>
                <w:szCs w:val="20"/>
              </w:rPr>
              <w:br w:type="textWrapping"/>
            </w:r>
            <w:r>
              <w:rPr>
                <w:rFonts w:hint="eastAsia" w:ascii="微软雅黑" w:hAnsi="微软雅黑" w:eastAsia="微软雅黑" w:cs="宋体"/>
                <w:kern w:val="0"/>
                <w:sz w:val="20"/>
                <w:szCs w:val="20"/>
              </w:rPr>
              <w:t>6、屏幕比例 16:9</w:t>
            </w:r>
            <w:r>
              <w:rPr>
                <w:rFonts w:hint="eastAsia" w:ascii="微软雅黑" w:hAnsi="微软雅黑" w:eastAsia="微软雅黑" w:cs="宋体"/>
                <w:kern w:val="0"/>
                <w:sz w:val="20"/>
                <w:szCs w:val="20"/>
              </w:rPr>
              <w:br w:type="textWrapping"/>
            </w:r>
            <w:r>
              <w:rPr>
                <w:rFonts w:hint="eastAsia" w:ascii="微软雅黑" w:hAnsi="微软雅黑" w:eastAsia="微软雅黑" w:cs="宋体"/>
                <w:kern w:val="0"/>
                <w:sz w:val="20"/>
                <w:szCs w:val="20"/>
              </w:rPr>
              <w:t>7、响应时间 ≤8ms</w:t>
            </w:r>
            <w:r>
              <w:rPr>
                <w:rFonts w:hint="eastAsia" w:ascii="微软雅黑" w:hAnsi="微软雅黑" w:eastAsia="微软雅黑" w:cs="宋体"/>
                <w:kern w:val="0"/>
                <w:sz w:val="20"/>
                <w:szCs w:val="20"/>
              </w:rPr>
              <w:br w:type="textWrapping"/>
            </w:r>
            <w:r>
              <w:rPr>
                <w:rFonts w:hint="eastAsia" w:ascii="微软雅黑" w:hAnsi="微软雅黑" w:eastAsia="微软雅黑" w:cs="宋体"/>
                <w:kern w:val="0"/>
                <w:sz w:val="20"/>
                <w:szCs w:val="20"/>
              </w:rPr>
              <w:t>8、HDR显示 支持HDR</w:t>
            </w:r>
            <w:r>
              <w:rPr>
                <w:rFonts w:hint="eastAsia" w:ascii="微软雅黑" w:hAnsi="微软雅黑" w:eastAsia="微软雅黑" w:cs="宋体"/>
                <w:kern w:val="0"/>
                <w:sz w:val="20"/>
                <w:szCs w:val="20"/>
              </w:rPr>
              <w:br w:type="textWrapping"/>
            </w:r>
            <w:r>
              <w:rPr>
                <w:rFonts w:hint="eastAsia" w:ascii="微软雅黑" w:hAnsi="微软雅黑" w:eastAsia="微软雅黑" w:cs="宋体"/>
                <w:kern w:val="0"/>
                <w:sz w:val="20"/>
                <w:szCs w:val="20"/>
              </w:rPr>
              <w:t>9、HDMI2.0接口数 ≥2个</w:t>
            </w:r>
          </w:p>
        </w:tc>
      </w:tr>
      <w:tr w14:paraId="7B640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52" w:type="pct"/>
            <w:noWrap/>
            <w:vAlign w:val="center"/>
          </w:tcPr>
          <w:p w14:paraId="0C9CBE39">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5</w:t>
            </w:r>
          </w:p>
        </w:tc>
        <w:tc>
          <w:tcPr>
            <w:tcW w:w="923" w:type="pct"/>
            <w:vAlign w:val="center"/>
          </w:tcPr>
          <w:p w14:paraId="743A4E5F">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吊装支架</w:t>
            </w:r>
          </w:p>
        </w:tc>
        <w:tc>
          <w:tcPr>
            <w:tcW w:w="3725" w:type="pct"/>
            <w:vAlign w:val="center"/>
          </w:tcPr>
          <w:p w14:paraId="7BDD7F28">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1、支持 40-85英寸电视机</w:t>
            </w:r>
            <w:r>
              <w:rPr>
                <w:rFonts w:hint="eastAsia" w:ascii="微软雅黑" w:hAnsi="微软雅黑" w:eastAsia="微软雅黑" w:cs="宋体"/>
                <w:kern w:val="0"/>
                <w:sz w:val="20"/>
                <w:szCs w:val="20"/>
              </w:rPr>
              <w:br w:type="textWrapping"/>
            </w:r>
            <w:r>
              <w:rPr>
                <w:rFonts w:hint="eastAsia" w:ascii="微软雅黑" w:hAnsi="微软雅黑" w:eastAsia="微软雅黑" w:cs="宋体"/>
                <w:kern w:val="0"/>
                <w:sz w:val="20"/>
                <w:szCs w:val="20"/>
              </w:rPr>
              <w:t>2、翻转角度可调</w:t>
            </w:r>
            <w:r>
              <w:rPr>
                <w:rFonts w:hint="eastAsia" w:ascii="微软雅黑" w:hAnsi="微软雅黑" w:eastAsia="微软雅黑" w:cs="宋体"/>
                <w:kern w:val="0"/>
                <w:sz w:val="20"/>
                <w:szCs w:val="20"/>
              </w:rPr>
              <w:br w:type="textWrapping"/>
            </w:r>
            <w:r>
              <w:rPr>
                <w:rFonts w:hint="eastAsia" w:ascii="微软雅黑" w:hAnsi="微软雅黑" w:eastAsia="微软雅黑" w:cs="宋体"/>
                <w:kern w:val="0"/>
                <w:sz w:val="20"/>
                <w:szCs w:val="20"/>
              </w:rPr>
              <w:t>3、≥1.5米吊架，根据现场高度情况，按实际长度安装。</w:t>
            </w:r>
          </w:p>
        </w:tc>
      </w:tr>
      <w:tr w14:paraId="1F2F5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52" w:type="pct"/>
            <w:noWrap/>
            <w:vAlign w:val="center"/>
          </w:tcPr>
          <w:p w14:paraId="47E2A3E9">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6</w:t>
            </w:r>
          </w:p>
        </w:tc>
        <w:tc>
          <w:tcPr>
            <w:tcW w:w="923" w:type="pct"/>
            <w:vAlign w:val="center"/>
          </w:tcPr>
          <w:p w14:paraId="5CB6FFFA">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HDMI传输器</w:t>
            </w:r>
          </w:p>
        </w:tc>
        <w:tc>
          <w:tcPr>
            <w:tcW w:w="3725" w:type="pct"/>
            <w:vAlign w:val="center"/>
          </w:tcPr>
          <w:p w14:paraId="73870DF5">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1、最高支持4K@30Hz分辨率，向下兼容。</w:t>
            </w:r>
            <w:r>
              <w:rPr>
                <w:rFonts w:hint="eastAsia" w:ascii="微软雅黑" w:hAnsi="微软雅黑" w:eastAsia="微软雅黑" w:cs="宋体"/>
                <w:kern w:val="0"/>
                <w:sz w:val="20"/>
                <w:szCs w:val="20"/>
              </w:rPr>
              <w:br w:type="textWrapping"/>
            </w:r>
            <w:r>
              <w:rPr>
                <w:rFonts w:hint="eastAsia" w:ascii="微软雅黑" w:hAnsi="微软雅黑" w:eastAsia="微软雅黑" w:cs="宋体"/>
                <w:kern w:val="0"/>
                <w:sz w:val="20"/>
                <w:szCs w:val="20"/>
              </w:rPr>
              <w:t>2、支持HDR10高动态范围图像。</w:t>
            </w:r>
            <w:r>
              <w:rPr>
                <w:rFonts w:hint="eastAsia" w:ascii="微软雅黑" w:hAnsi="微软雅黑" w:eastAsia="微软雅黑" w:cs="宋体"/>
                <w:kern w:val="0"/>
                <w:sz w:val="20"/>
                <w:szCs w:val="20"/>
              </w:rPr>
              <w:br w:type="textWrapping"/>
            </w:r>
            <w:r>
              <w:rPr>
                <w:rFonts w:hint="eastAsia" w:ascii="微软雅黑" w:hAnsi="微软雅黑" w:eastAsia="微软雅黑" w:cs="宋体"/>
                <w:kern w:val="0"/>
                <w:sz w:val="20"/>
                <w:szCs w:val="20"/>
              </w:rPr>
              <w:t>3、支持≥1路HDMI信号输入，分配至≥4路RJ45网口输出。</w:t>
            </w:r>
            <w:r>
              <w:rPr>
                <w:rFonts w:hint="eastAsia" w:ascii="微软雅黑" w:hAnsi="微软雅黑" w:eastAsia="微软雅黑" w:cs="宋体"/>
                <w:kern w:val="0"/>
                <w:sz w:val="20"/>
                <w:szCs w:val="20"/>
              </w:rPr>
              <w:br w:type="textWrapping"/>
            </w:r>
            <w:r>
              <w:rPr>
                <w:rFonts w:hint="eastAsia" w:ascii="微软雅黑" w:hAnsi="微软雅黑" w:eastAsia="微软雅黑" w:cs="宋体"/>
                <w:kern w:val="0"/>
                <w:sz w:val="20"/>
                <w:szCs w:val="20"/>
              </w:rPr>
              <w:t>4、支持CAT6/6A/7类网线，可将1080p信号传输至70米，4K30Hz信号传输至40米。</w:t>
            </w:r>
            <w:r>
              <w:rPr>
                <w:rFonts w:hint="eastAsia" w:ascii="微软雅黑" w:hAnsi="微软雅黑" w:eastAsia="微软雅黑" w:cs="宋体"/>
                <w:kern w:val="0"/>
                <w:sz w:val="20"/>
                <w:szCs w:val="20"/>
              </w:rPr>
              <w:br w:type="textWrapping"/>
            </w:r>
            <w:r>
              <w:rPr>
                <w:rFonts w:hint="eastAsia" w:ascii="微软雅黑" w:hAnsi="微软雅黑" w:eastAsia="微软雅黑" w:cs="宋体"/>
                <w:kern w:val="0"/>
                <w:sz w:val="20"/>
                <w:szCs w:val="20"/>
              </w:rPr>
              <w:t>5、支持POC网线供电，仅需TX供电即可。</w:t>
            </w:r>
            <w:r>
              <w:rPr>
                <w:rFonts w:hint="eastAsia" w:ascii="微软雅黑" w:hAnsi="微软雅黑" w:eastAsia="微软雅黑" w:cs="宋体"/>
                <w:kern w:val="0"/>
                <w:sz w:val="20"/>
                <w:szCs w:val="20"/>
              </w:rPr>
              <w:br w:type="textWrapping"/>
            </w:r>
            <w:r>
              <w:rPr>
                <w:rFonts w:hint="eastAsia" w:ascii="微软雅黑" w:hAnsi="微软雅黑" w:eastAsia="微软雅黑" w:cs="宋体"/>
                <w:kern w:val="0"/>
                <w:sz w:val="20"/>
                <w:szCs w:val="20"/>
              </w:rPr>
              <w:t>6、发射端支持HDMI环出。</w:t>
            </w:r>
            <w:r>
              <w:rPr>
                <w:rFonts w:hint="eastAsia" w:ascii="微软雅黑" w:hAnsi="微软雅黑" w:eastAsia="微软雅黑" w:cs="宋体"/>
                <w:kern w:val="0"/>
                <w:sz w:val="20"/>
                <w:szCs w:val="20"/>
              </w:rPr>
              <w:br w:type="textWrapping"/>
            </w:r>
            <w:r>
              <w:rPr>
                <w:rFonts w:hint="eastAsia" w:ascii="微软雅黑" w:hAnsi="微软雅黑" w:eastAsia="微软雅黑" w:cs="宋体"/>
                <w:kern w:val="0"/>
                <w:sz w:val="20"/>
                <w:szCs w:val="20"/>
              </w:rPr>
              <w:t>7、支持双向红外回传(20-60KHz)。</w:t>
            </w:r>
            <w:r>
              <w:rPr>
                <w:rFonts w:hint="eastAsia" w:ascii="微软雅黑" w:hAnsi="微软雅黑" w:eastAsia="微软雅黑" w:cs="宋体"/>
                <w:kern w:val="0"/>
                <w:sz w:val="20"/>
                <w:szCs w:val="20"/>
              </w:rPr>
              <w:br w:type="textWrapping"/>
            </w:r>
            <w:r>
              <w:rPr>
                <w:rFonts w:hint="eastAsia" w:ascii="微软雅黑" w:hAnsi="微软雅黑" w:eastAsia="微软雅黑" w:cs="宋体"/>
                <w:kern w:val="0"/>
                <w:sz w:val="20"/>
                <w:szCs w:val="20"/>
              </w:rPr>
              <w:t>8、支持RS-232指令控制。</w:t>
            </w:r>
            <w:r>
              <w:rPr>
                <w:rFonts w:hint="eastAsia" w:ascii="微软雅黑" w:hAnsi="微软雅黑" w:eastAsia="微软雅黑" w:cs="宋体"/>
                <w:kern w:val="0"/>
                <w:sz w:val="20"/>
                <w:szCs w:val="20"/>
              </w:rPr>
              <w:br w:type="textWrapping"/>
            </w:r>
            <w:r>
              <w:rPr>
                <w:rFonts w:hint="eastAsia" w:ascii="微软雅黑" w:hAnsi="微软雅黑" w:eastAsia="微软雅黑" w:cs="宋体"/>
                <w:kern w:val="0"/>
                <w:sz w:val="20"/>
                <w:szCs w:val="20"/>
              </w:rPr>
              <w:t>9、防雷击、防静电、防浪涌保护。</w:t>
            </w:r>
          </w:p>
        </w:tc>
      </w:tr>
      <w:tr w14:paraId="399BB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52" w:type="pct"/>
            <w:noWrap/>
            <w:vAlign w:val="center"/>
          </w:tcPr>
          <w:p w14:paraId="774FD143">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7</w:t>
            </w:r>
          </w:p>
        </w:tc>
        <w:tc>
          <w:tcPr>
            <w:tcW w:w="923" w:type="pct"/>
            <w:vAlign w:val="center"/>
          </w:tcPr>
          <w:p w14:paraId="4C1BDCF1">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全域物联网中控</w:t>
            </w:r>
          </w:p>
        </w:tc>
        <w:tc>
          <w:tcPr>
            <w:tcW w:w="3725" w:type="pct"/>
            <w:vAlign w:val="center"/>
          </w:tcPr>
          <w:p w14:paraId="63F7EF14">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1、嵌入式内核集成IIS服务器，可以在WEB界面直接登录设置网络参数；前面板开模注塑，带LCD显示屏，实时显示主音量、话筒音量和电压电流等；</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2、至少5路视频输入（≥1路VGA，≥4路HDMI）；至少6路视频输出（≥5路HDMI，≥1路VGA），支持混合高清切换。</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3、≥1路USB控制和数据编程接口，≥11路独立RS232控制和≥9路红外控制接口（其中8个是RS232和红外共用接口），≥1路LBUS总线接口，≥1路MODBUS总线端口，≥8路检测输入接口，≥1路可控制12V输出；</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4、2路3.5音频输入，1路混合音频输出，1路6.5话筒输入，1路凤凰端子话筒平衡输入接口，带48V幻象供电开关，直接连接吊麦实现远距离拾音；支持对音频通道和吊麦等独立80级数字音量调节，支持对音频输出通道进行静音设置；</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5、集成4路视音频输入和1路视音频输出（凤凰端子接口），集成HDMI音频数字解码，HDMI信号无需另外接入音频；</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6、集成LBUS总线，搭配智能开关、调光模块、串口模块、控制面板等组成免编程物联控制系统，带256组场景，整个系统可挂63个模块；</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7、集成1路可编程RS485总线，扩展连接其他协议的物联设备；</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8、集成MODBUS总线，可连接32个智能断路器，实现智能用电管理；</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9、主音量和4路话筒音量80级旋转编码数字调节，LCD液晶显示，调节方便精准；</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10、带自动记忆存储功能，各项功能及参数设置好后，每次开关机，自动恢复至原始设置，防止非管理员误操作；</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11、主机内可集成专业DSP音频处理模块，具备AEC（自动回声消除）、AFC（自动反馈抑制）、ANC（自动降噪），提供清晰的授课环境；</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12、6路可编程强电电源控制，其中2个30A和4个16A回路控制，具备2套投影幕升降控制；带投影机断电散热保护功能，系统关闭后，投影机灯泡散热继续供电保护；</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13、1个双向电子锁控制接口及1个电脑开关接口，带电脑信号光隔离检测；</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14、具有2路独立电源智能管理，高效管理教室多媒体设备，自带2路精密能耗计量芯片，实时读取电流、电压、电度等参数值，可精确统计连接设备（如投影机、大屏、投影幕平板及外接物联设备）的能耗及使用时长。如：投影灯的使用时间、日志、精确能耗等；</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15、自主开发的嵌入式内核集成IIS服务器，可以在WEB界面直接登录设置网络参数；</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16、集成网络模块：支持远程集中化可视管理、与远程批处理、支持手机APP远程管理，采用DHCP技术自动分配IP地址，节省IP地址空间，不能采用设置固定IP地址方式；</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17、 支持通过网络方式接入网络摄像机，编码格式为H.264或H.265；</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18、 支持通过网络方式接入网络拾音器、网络音箱；</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19、 支持通过网络方式接入物联网关设备；</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20、无缝对接学校现有的教室集控平台，实现统一管理，对接费用由中标人负责。</w:t>
            </w:r>
          </w:p>
        </w:tc>
      </w:tr>
      <w:tr w14:paraId="051FA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52" w:type="pct"/>
            <w:noWrap/>
            <w:vAlign w:val="center"/>
          </w:tcPr>
          <w:p w14:paraId="24DB7156">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8</w:t>
            </w:r>
          </w:p>
        </w:tc>
        <w:tc>
          <w:tcPr>
            <w:tcW w:w="923" w:type="pct"/>
            <w:vAlign w:val="center"/>
          </w:tcPr>
          <w:p w14:paraId="1197AC30">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可编程控制面板</w:t>
            </w:r>
          </w:p>
        </w:tc>
        <w:tc>
          <w:tcPr>
            <w:tcW w:w="3725" w:type="pct"/>
            <w:vAlign w:val="center"/>
          </w:tcPr>
          <w:p w14:paraId="02B56CE8">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 显示屏：≥10.1触控显示屏，屏幕角度（0-55°）可调；</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2、 刷卡器：内置刷卡器；</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3、 摄像头：内置≥1080P摄像头</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4、内置RTC时钟，支持日期及时间显示；支持亮度调节及屏幕保护；</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5、触摸屏带可编程的二维码，可通过手机扫码方式进行对授权的教室一键开启功能，无需携带IC卡，只要手机号授权即可实现开启设备。</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6、内置高灵敏度拾音器，与数字高保真喇叭。</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7、内置摄像头，支持手机二维码反扫验证。</w:t>
            </w:r>
          </w:p>
        </w:tc>
      </w:tr>
      <w:tr w14:paraId="1084B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52" w:type="pct"/>
            <w:noWrap/>
            <w:vAlign w:val="center"/>
          </w:tcPr>
          <w:p w14:paraId="0D5D8974">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9</w:t>
            </w:r>
          </w:p>
        </w:tc>
        <w:tc>
          <w:tcPr>
            <w:tcW w:w="923" w:type="pct"/>
            <w:noWrap/>
            <w:vAlign w:val="center"/>
          </w:tcPr>
          <w:p w14:paraId="586EF225">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辅材</w:t>
            </w:r>
          </w:p>
        </w:tc>
        <w:tc>
          <w:tcPr>
            <w:tcW w:w="3725" w:type="pct"/>
            <w:vAlign w:val="center"/>
          </w:tcPr>
          <w:p w14:paraId="334C4877">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满足教室内设备</w:t>
            </w:r>
            <w:r>
              <w:rPr>
                <w:rFonts w:hint="eastAsia" w:ascii="微软雅黑" w:hAnsi="微软雅黑" w:eastAsia="微软雅黑" w:cs="宋体"/>
                <w:color w:val="000000"/>
                <w:kern w:val="0"/>
                <w:sz w:val="20"/>
                <w:szCs w:val="20"/>
                <w:lang w:val="en-US" w:eastAsia="zh-CN"/>
              </w:rPr>
              <w:t>安装需要</w:t>
            </w:r>
            <w:r>
              <w:rPr>
                <w:rFonts w:hint="eastAsia" w:ascii="微软雅黑" w:hAnsi="微软雅黑" w:eastAsia="微软雅黑" w:cs="宋体"/>
                <w:color w:val="000000"/>
                <w:kern w:val="0"/>
                <w:sz w:val="20"/>
                <w:szCs w:val="20"/>
              </w:rPr>
              <w:t>的电源线、标准六类线、</w:t>
            </w:r>
            <w:r>
              <w:rPr>
                <w:rFonts w:hint="eastAsia" w:ascii="微软雅黑" w:hAnsi="微软雅黑" w:eastAsia="微软雅黑" w:cs="宋体"/>
                <w:color w:val="000000"/>
                <w:kern w:val="0"/>
                <w:sz w:val="20"/>
                <w:szCs w:val="20"/>
                <w:lang w:val="en-US" w:eastAsia="zh-CN"/>
              </w:rPr>
              <w:t>HDMI</w:t>
            </w:r>
            <w:bookmarkStart w:id="2" w:name="_GoBack"/>
            <w:bookmarkEnd w:id="2"/>
            <w:r>
              <w:rPr>
                <w:rFonts w:hint="eastAsia" w:ascii="微软雅黑" w:hAnsi="微软雅黑" w:eastAsia="微软雅黑" w:cs="宋体"/>
                <w:color w:val="000000"/>
                <w:kern w:val="0"/>
                <w:sz w:val="20"/>
                <w:szCs w:val="20"/>
              </w:rPr>
              <w:t>高清线、控制线、USB线、PVC套管等辅材。</w:t>
            </w:r>
          </w:p>
        </w:tc>
      </w:tr>
      <w:tr w14:paraId="53D07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52" w:type="pct"/>
            <w:noWrap/>
            <w:vAlign w:val="center"/>
          </w:tcPr>
          <w:p w14:paraId="4EF7505B">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10</w:t>
            </w:r>
          </w:p>
        </w:tc>
        <w:tc>
          <w:tcPr>
            <w:tcW w:w="923" w:type="pct"/>
            <w:noWrap/>
            <w:vAlign w:val="center"/>
          </w:tcPr>
          <w:p w14:paraId="00D2858F">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线路预埋</w:t>
            </w:r>
          </w:p>
        </w:tc>
        <w:tc>
          <w:tcPr>
            <w:tcW w:w="3725" w:type="pct"/>
            <w:noWrap/>
            <w:vAlign w:val="center"/>
          </w:tcPr>
          <w:p w14:paraId="275A71E7">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含所有线路预埋的开槽及修复费用。</w:t>
            </w:r>
          </w:p>
        </w:tc>
      </w:tr>
      <w:tr w14:paraId="3388F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52" w:type="pct"/>
            <w:noWrap/>
            <w:vAlign w:val="center"/>
          </w:tcPr>
          <w:p w14:paraId="7EB903B8">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11</w:t>
            </w:r>
          </w:p>
        </w:tc>
        <w:tc>
          <w:tcPr>
            <w:tcW w:w="923" w:type="pct"/>
            <w:vAlign w:val="center"/>
          </w:tcPr>
          <w:p w14:paraId="1AD0AA6C">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教学资源管理平台</w:t>
            </w:r>
          </w:p>
        </w:tc>
        <w:tc>
          <w:tcPr>
            <w:tcW w:w="3725" w:type="pct"/>
            <w:vAlign w:val="center"/>
          </w:tcPr>
          <w:p w14:paraId="5226BF62">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1、教学资源平台面向全校师生，老师可上传发布个人精品课程资源，学生在线点播优秀课程资源，也可观看直播课堂。</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2、教师可发布自己的精品课程，管理员也可上传发布优质的课程资源，发布后的课程资源可进行课程评价、课程互动。</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3、教师或者管理员可发起直播课堂，进行课堂全程直播，直播过程中还可支持互动评价，也可支持远程视频互动。</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4、直播活动可按照学科、状态进行分类展示，状态设有未开始、上课中、已结束。</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5、精品课程资源可按照院系、学科进行分类展示。</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6、个人中心包含个人资源的管理、精品课程资源收藏等。</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7、支持按照关键字搜索查询所需的教学资源。</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8、管理员或老师可新增上传精品课程资源，设置标题、老师、科目名称、简介、图标等完成课程资源新建。</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9、管理员可修改、删除、置顶、查询精品课程资源。</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10、须基于学校现有的督导巡课、基础数据、流媒体、教室集控、物联管控、数据展示、信息发布、直播录播等平台等基础上进行功能模块扩展开发，</w:t>
            </w:r>
          </w:p>
        </w:tc>
      </w:tr>
      <w:tr w14:paraId="24012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52" w:type="pct"/>
            <w:noWrap/>
            <w:vAlign w:val="center"/>
          </w:tcPr>
          <w:p w14:paraId="297B7EDA">
            <w:pPr>
              <w:widowControl/>
              <w:jc w:val="center"/>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12</w:t>
            </w:r>
          </w:p>
        </w:tc>
        <w:tc>
          <w:tcPr>
            <w:tcW w:w="923" w:type="pct"/>
            <w:vAlign w:val="center"/>
          </w:tcPr>
          <w:p w14:paraId="01BE2B58">
            <w:pPr>
              <w:widowControl/>
              <w:jc w:val="left"/>
              <w:rPr>
                <w:rFonts w:hint="eastAsia" w:ascii="微软雅黑" w:hAnsi="微软雅黑" w:eastAsia="微软雅黑" w:cs="宋体"/>
                <w:kern w:val="0"/>
                <w:sz w:val="20"/>
                <w:szCs w:val="20"/>
              </w:rPr>
            </w:pPr>
            <w:r>
              <w:rPr>
                <w:rFonts w:hint="eastAsia" w:ascii="微软雅黑" w:hAnsi="微软雅黑" w:eastAsia="微软雅黑" w:cs="宋体"/>
                <w:kern w:val="0"/>
                <w:sz w:val="20"/>
                <w:szCs w:val="20"/>
              </w:rPr>
              <w:t>数字电源保护系统</w:t>
            </w:r>
          </w:p>
        </w:tc>
        <w:tc>
          <w:tcPr>
            <w:tcW w:w="3725" w:type="pct"/>
            <w:vAlign w:val="center"/>
          </w:tcPr>
          <w:p w14:paraId="779180A5">
            <w:pPr>
              <w:widowControl/>
              <w:jc w:val="left"/>
              <w:rPr>
                <w:rFonts w:hint="eastAsia" w:ascii="微软雅黑" w:hAnsi="微软雅黑" w:eastAsia="微软雅黑" w:cs="宋体"/>
                <w:color w:val="000000"/>
                <w:kern w:val="0"/>
                <w:sz w:val="20"/>
                <w:szCs w:val="20"/>
              </w:rPr>
            </w:pPr>
            <w:r>
              <w:rPr>
                <w:rFonts w:hint="eastAsia" w:ascii="微软雅黑" w:hAnsi="微软雅黑" w:eastAsia="微软雅黑" w:cs="宋体"/>
                <w:color w:val="000000"/>
                <w:kern w:val="0"/>
                <w:sz w:val="20"/>
                <w:szCs w:val="20"/>
              </w:rPr>
              <w:t>1、显示屏：2.8寸全视角液晶屏。</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2、产品高度：≤2U。</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3、主页面：显示当前北京时间、设备当前IP地址、童锁状态、联网状态、菜单页入口、说明书和小程序二维码入口、设备当前的工作电压、耗电功率、温度和湿度、通道工作状态。</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4、配置管理员：用户通过手机微信扫描二维码绑定设备，绑定后成为设备管理员，管理员可自由分配控制用户。设备绑定后二维码立即失效保证远程控制安全性。</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5、控制墙板：可选配触摸墙板，远程控制通道、场景编辑，多种模式切换控制，自定义编辑场景，双向数据同步，支持掉线提醒，设备连接中断会弹窗提醒。</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6、USB、DATA接口：2路USB接口，2路DATA接口；</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7、RJ45插座：1路LINKIN，1路LINK OUT，1路RS232/485，1路TCP/IP；</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8、433射频遥控：射频遥控器在遮挡情况下可控制时序开启或关闭所有通道。</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9、红外遥控：可通过红外遥控器开关电源。</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10、启动方式：支持电源开关时序启动，支持红外遥控启动、支持433射频遥控启动、支持移动终端控制启动，支持PC端控制启动。</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11、支持电压保护：支持高低压保护设置，当工作电压超过或低于预设值时，会自动断电并弹窗报警提示。</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12、定位功能：设备支持定位扩展功能，可通过电脑读取到该设备所在的经纬度、海拔和工作时长等信息，以了解无线信号传输稳定性。</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13、设备设置：可根据项目地点命名设备，每通道负载也可自定义命名，更直观更方便管理设备。</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14、支持级联波特率可设：支持级联波特率设置，波特率可设：4800、7200、9600、14400、19200、38400；</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15、级联：支持多台设备级联控制，级联距离达到≥1KM；</w:t>
            </w:r>
            <w:r>
              <w:rPr>
                <w:rFonts w:hint="eastAsia" w:ascii="微软雅黑" w:hAnsi="微软雅黑" w:eastAsia="微软雅黑" w:cs="宋体"/>
                <w:color w:val="000000"/>
                <w:kern w:val="0"/>
                <w:sz w:val="20"/>
                <w:szCs w:val="20"/>
              </w:rPr>
              <w:br w:type="textWrapping"/>
            </w:r>
            <w:r>
              <w:rPr>
                <w:rFonts w:hint="eastAsia" w:ascii="微软雅黑" w:hAnsi="微软雅黑" w:eastAsia="微软雅黑" w:cs="宋体"/>
                <w:color w:val="000000"/>
                <w:kern w:val="0"/>
                <w:sz w:val="20"/>
                <w:szCs w:val="20"/>
              </w:rPr>
              <w:t>16、可通过电脑软件集中管理内网设备，可实现一键开关机，自定义编辑场景模式并快捷切换场景，可自定义编辑设备名称、通道名称、场景名称。</w:t>
            </w:r>
          </w:p>
        </w:tc>
      </w:tr>
    </w:tbl>
    <w:p w14:paraId="159EA285">
      <w:pPr>
        <w:spacing w:line="360" w:lineRule="auto"/>
        <w:jc w:val="center"/>
        <w:rPr>
          <w:rFonts w:hint="eastAsia" w:asciiTheme="minorEastAsia" w:hAnsiTheme="minorEastAsia"/>
          <w:b/>
          <w:bCs/>
          <w:sz w:val="28"/>
          <w:szCs w:val="28"/>
        </w:rPr>
      </w:pPr>
    </w:p>
    <w:p w14:paraId="315870C0">
      <w:pPr>
        <w:pStyle w:val="3"/>
      </w:pPr>
      <w:r>
        <w:rPr>
          <w:rFonts w:hint="eastAsia"/>
        </w:rPr>
        <w:t>四、商务要求</w:t>
      </w:r>
    </w:p>
    <w:p w14:paraId="7A73C086">
      <w:pPr>
        <w:spacing w:line="360" w:lineRule="auto"/>
        <w:jc w:val="left"/>
        <w:rPr>
          <w:rFonts w:hint="eastAsia" w:asciiTheme="minorEastAsia" w:hAnsiTheme="minorEastAsia"/>
          <w:b/>
          <w:bCs/>
          <w:szCs w:val="21"/>
        </w:rPr>
      </w:pPr>
      <w:bookmarkStart w:id="0" w:name="_Toc28949"/>
      <w:bookmarkStart w:id="1" w:name="_Toc18276"/>
      <w:r>
        <w:rPr>
          <w:rFonts w:hint="eastAsia" w:asciiTheme="minorEastAsia" w:hAnsiTheme="minorEastAsia"/>
          <w:b/>
          <w:bCs/>
          <w:szCs w:val="21"/>
        </w:rPr>
        <w:t>1.</w:t>
      </w:r>
      <w:bookmarkEnd w:id="0"/>
      <w:bookmarkEnd w:id="1"/>
      <w:r>
        <w:rPr>
          <w:rFonts w:hint="eastAsia" w:asciiTheme="minorEastAsia" w:hAnsiTheme="minorEastAsia"/>
          <w:b/>
          <w:bCs/>
          <w:szCs w:val="21"/>
        </w:rPr>
        <w:t>售后服务及保修承诺要求</w:t>
      </w:r>
    </w:p>
    <w:p w14:paraId="45ADCDEA">
      <w:pPr>
        <w:pStyle w:val="9"/>
        <w:widowControl/>
        <w:spacing w:line="480" w:lineRule="atLeast"/>
        <w:ind w:left="-180" w:right="-180" w:firstLine="360"/>
        <w:rPr>
          <w:rFonts w:hint="eastAsia" w:cs="宋体" w:asciiTheme="minorEastAsia" w:hAnsiTheme="minorEastAsia" w:eastAsiaTheme="minorEastAsia"/>
          <w:sz w:val="21"/>
          <w:szCs w:val="21"/>
        </w:rPr>
      </w:pPr>
      <w:r>
        <w:rPr>
          <w:rFonts w:hint="eastAsia" w:cs="宋体" w:asciiTheme="minorEastAsia" w:hAnsiTheme="minorEastAsia" w:eastAsiaTheme="minorEastAsia"/>
          <w:sz w:val="21"/>
          <w:szCs w:val="21"/>
        </w:rPr>
        <w:t>1-1.质保期：自验收合格之日起免费质保期3年。</w:t>
      </w:r>
    </w:p>
    <w:p w14:paraId="1B1695D1">
      <w:pPr>
        <w:pStyle w:val="9"/>
        <w:widowControl/>
        <w:spacing w:line="480" w:lineRule="atLeast"/>
        <w:ind w:left="-180" w:right="-180" w:firstLine="360"/>
        <w:rPr>
          <w:rFonts w:hint="eastAsia" w:cs="宋体" w:asciiTheme="minorEastAsia" w:hAnsiTheme="minorEastAsia" w:eastAsiaTheme="minorEastAsia"/>
          <w:sz w:val="21"/>
          <w:szCs w:val="21"/>
        </w:rPr>
      </w:pPr>
      <w:r>
        <w:rPr>
          <w:rFonts w:hint="eastAsia" w:cs="宋体" w:asciiTheme="minorEastAsia" w:hAnsiTheme="minorEastAsia" w:eastAsiaTheme="minorEastAsia"/>
          <w:sz w:val="21"/>
          <w:szCs w:val="21"/>
        </w:rPr>
        <w:t>1-2.维保方式：采用上门维保方式。</w:t>
      </w:r>
    </w:p>
    <w:p w14:paraId="0BE54E25">
      <w:pPr>
        <w:pStyle w:val="9"/>
        <w:widowControl/>
        <w:numPr>
          <w:ilvl w:val="0"/>
          <w:numId w:val="1"/>
        </w:numPr>
        <w:spacing w:line="480" w:lineRule="atLeast"/>
        <w:ind w:right="-180"/>
        <w:rPr>
          <w:rFonts w:hint="eastAsia" w:cs="宋体" w:asciiTheme="minorEastAsia" w:hAnsiTheme="minorEastAsia" w:eastAsiaTheme="minorEastAsia"/>
          <w:sz w:val="21"/>
          <w:szCs w:val="21"/>
        </w:rPr>
      </w:pPr>
      <w:r>
        <w:rPr>
          <w:rFonts w:hint="eastAsia" w:cs="宋体" w:asciiTheme="minorEastAsia" w:hAnsiTheme="minorEastAsia" w:eastAsiaTheme="minorEastAsia"/>
          <w:sz w:val="21"/>
          <w:szCs w:val="21"/>
        </w:rPr>
        <w:t>提供不少于1名技术工程师进行上门服务；</w:t>
      </w:r>
    </w:p>
    <w:p w14:paraId="0EAB6C1C">
      <w:pPr>
        <w:pStyle w:val="9"/>
        <w:widowControl/>
        <w:numPr>
          <w:ilvl w:val="0"/>
          <w:numId w:val="1"/>
        </w:numPr>
        <w:spacing w:line="480" w:lineRule="atLeast"/>
        <w:ind w:right="-180"/>
        <w:rPr>
          <w:rFonts w:hint="eastAsia" w:asciiTheme="minorEastAsia" w:hAnsiTheme="minorEastAsia" w:eastAsiaTheme="minorEastAsia"/>
          <w:sz w:val="21"/>
          <w:szCs w:val="21"/>
        </w:rPr>
      </w:pPr>
      <w:r>
        <w:rPr>
          <w:rFonts w:hint="eastAsia" w:cs="宋体" w:asciiTheme="minorEastAsia" w:hAnsiTheme="minorEastAsia" w:eastAsiaTheme="minorEastAsia"/>
          <w:sz w:val="21"/>
          <w:szCs w:val="21"/>
        </w:rPr>
        <w:t>技术工程师要求能熟练掌握本项目涉及的软硬件产品使用、维护、维修和管理。</w:t>
      </w:r>
    </w:p>
    <w:p w14:paraId="53D6BBA6">
      <w:pPr>
        <w:pStyle w:val="9"/>
        <w:widowControl/>
        <w:numPr>
          <w:ilvl w:val="0"/>
          <w:numId w:val="1"/>
        </w:numPr>
        <w:spacing w:line="480" w:lineRule="atLeast"/>
        <w:ind w:right="-180"/>
        <w:rPr>
          <w:rFonts w:hint="eastAsia" w:asciiTheme="minorEastAsia" w:hAnsiTheme="minorEastAsia" w:eastAsiaTheme="minorEastAsia"/>
          <w:sz w:val="21"/>
          <w:szCs w:val="21"/>
        </w:rPr>
      </w:pPr>
      <w:r>
        <w:rPr>
          <w:rFonts w:hint="eastAsia" w:cs="宋体" w:asciiTheme="minorEastAsia" w:hAnsiTheme="minorEastAsia" w:eastAsiaTheme="minorEastAsia"/>
          <w:sz w:val="21"/>
          <w:szCs w:val="21"/>
        </w:rPr>
        <w:t>作息时间根据校方使用部门统一安排，至少实行每周5天*8小时在校保障服务，如遇其他特殊活动要求配合校方安排驻点维保服务。</w:t>
      </w:r>
    </w:p>
    <w:p w14:paraId="06D035A0">
      <w:pPr>
        <w:spacing w:line="360" w:lineRule="auto"/>
        <w:jc w:val="left"/>
        <w:rPr>
          <w:rFonts w:hint="eastAsia" w:asciiTheme="minorEastAsia" w:hAnsiTheme="minorEastAsia"/>
          <w:b/>
          <w:bCs/>
          <w:szCs w:val="21"/>
        </w:rPr>
      </w:pPr>
      <w:r>
        <w:rPr>
          <w:rFonts w:hint="eastAsia" w:asciiTheme="minorEastAsia" w:hAnsiTheme="minorEastAsia"/>
          <w:b/>
          <w:bCs/>
          <w:szCs w:val="21"/>
        </w:rPr>
        <w:t>2.供货期</w:t>
      </w:r>
    </w:p>
    <w:p w14:paraId="7C94A5C8">
      <w:pPr>
        <w:pStyle w:val="9"/>
        <w:widowControl/>
        <w:numPr>
          <w:ilvl w:val="255"/>
          <w:numId w:val="0"/>
        </w:numPr>
        <w:spacing w:line="480" w:lineRule="atLeast"/>
        <w:ind w:right="-180"/>
        <w:rPr>
          <w:rFonts w:hint="eastAsia" w:asciiTheme="minorEastAsia" w:hAnsiTheme="minorEastAsia" w:eastAsiaTheme="minorEastAsia"/>
          <w:sz w:val="21"/>
          <w:szCs w:val="21"/>
        </w:rPr>
      </w:pPr>
      <w:r>
        <w:rPr>
          <w:rFonts w:hint="eastAsia" w:cs="宋体" w:asciiTheme="minorEastAsia" w:hAnsiTheme="minorEastAsia" w:eastAsiaTheme="minorEastAsia"/>
          <w:sz w:val="21"/>
          <w:szCs w:val="21"/>
        </w:rPr>
        <w:t xml:space="preserve">   合同签订后30天内完成项目整体安装部署。</w:t>
      </w:r>
    </w:p>
    <w:sectPr>
      <w:footerReference r:id="rId3" w:type="default"/>
      <w:pgSz w:w="11906" w:h="16838"/>
      <w:pgMar w:top="1843" w:right="1797" w:bottom="1559" w:left="1797"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08852467"/>
    </w:sdtPr>
    <w:sdtContent>
      <w:p w14:paraId="65974A94">
        <w:pPr>
          <w:pStyle w:val="7"/>
          <w:jc w:val="center"/>
        </w:pPr>
        <w:r>
          <w:fldChar w:fldCharType="begin"/>
        </w:r>
        <w:r>
          <w:instrText xml:space="preserve">PAGE   \* MERGEFORMAT</w:instrText>
        </w:r>
        <w:r>
          <w:fldChar w:fldCharType="separate"/>
        </w:r>
        <w:r>
          <w:rPr>
            <w:lang w:val="zh-CN"/>
          </w:rPr>
          <w:t>10</w:t>
        </w:r>
        <w:r>
          <w:fldChar w:fldCharType="end"/>
        </w:r>
      </w:p>
    </w:sdtContent>
  </w:sdt>
  <w:p w14:paraId="7814EE06">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5E07E2"/>
    <w:multiLevelType w:val="multilevel"/>
    <w:tmpl w:val="235E07E2"/>
    <w:lvl w:ilvl="0" w:tentative="0">
      <w:start w:val="1"/>
      <w:numFmt w:val="decimal"/>
      <w:lvlText w:val="%1）"/>
      <w:lvlJc w:val="left"/>
      <w:pPr>
        <w:ind w:left="540" w:hanging="360"/>
      </w:pPr>
      <w:rPr>
        <w:rFonts w:hint="default"/>
      </w:rPr>
    </w:lvl>
    <w:lvl w:ilvl="1" w:tentative="0">
      <w:start w:val="1"/>
      <w:numFmt w:val="lowerLetter"/>
      <w:lvlText w:val="%2)"/>
      <w:lvlJc w:val="left"/>
      <w:pPr>
        <w:ind w:left="1060" w:hanging="440"/>
      </w:pPr>
    </w:lvl>
    <w:lvl w:ilvl="2" w:tentative="0">
      <w:start w:val="1"/>
      <w:numFmt w:val="lowerRoman"/>
      <w:lvlText w:val="%3."/>
      <w:lvlJc w:val="right"/>
      <w:pPr>
        <w:ind w:left="1500" w:hanging="440"/>
      </w:pPr>
    </w:lvl>
    <w:lvl w:ilvl="3" w:tentative="0">
      <w:start w:val="1"/>
      <w:numFmt w:val="decimal"/>
      <w:lvlText w:val="%4."/>
      <w:lvlJc w:val="left"/>
      <w:pPr>
        <w:ind w:left="1940" w:hanging="440"/>
      </w:pPr>
    </w:lvl>
    <w:lvl w:ilvl="4" w:tentative="0">
      <w:start w:val="1"/>
      <w:numFmt w:val="lowerLetter"/>
      <w:lvlText w:val="%5)"/>
      <w:lvlJc w:val="left"/>
      <w:pPr>
        <w:ind w:left="2380" w:hanging="440"/>
      </w:pPr>
    </w:lvl>
    <w:lvl w:ilvl="5" w:tentative="0">
      <w:start w:val="1"/>
      <w:numFmt w:val="lowerRoman"/>
      <w:lvlText w:val="%6."/>
      <w:lvlJc w:val="right"/>
      <w:pPr>
        <w:ind w:left="2820" w:hanging="440"/>
      </w:pPr>
    </w:lvl>
    <w:lvl w:ilvl="6" w:tentative="0">
      <w:start w:val="1"/>
      <w:numFmt w:val="decimal"/>
      <w:lvlText w:val="%7."/>
      <w:lvlJc w:val="left"/>
      <w:pPr>
        <w:ind w:left="3260" w:hanging="440"/>
      </w:pPr>
    </w:lvl>
    <w:lvl w:ilvl="7" w:tentative="0">
      <w:start w:val="1"/>
      <w:numFmt w:val="lowerLetter"/>
      <w:lvlText w:val="%8)"/>
      <w:lvlJc w:val="left"/>
      <w:pPr>
        <w:ind w:left="3700" w:hanging="440"/>
      </w:pPr>
    </w:lvl>
    <w:lvl w:ilvl="8" w:tentative="0">
      <w:start w:val="1"/>
      <w:numFmt w:val="lowerRoman"/>
      <w:lvlText w:val="%9."/>
      <w:lvlJc w:val="right"/>
      <w:pPr>
        <w:ind w:left="414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1Y2UzYmRjYjE5N2Q3NDA4MzY1ZTAzOTIyNGI2MjkifQ=="/>
  </w:docVars>
  <w:rsids>
    <w:rsidRoot w:val="00B57FA0"/>
    <w:rsid w:val="000051C9"/>
    <w:rsid w:val="000201A2"/>
    <w:rsid w:val="000245E8"/>
    <w:rsid w:val="000746B8"/>
    <w:rsid w:val="00077DA3"/>
    <w:rsid w:val="000823EF"/>
    <w:rsid w:val="00092E73"/>
    <w:rsid w:val="000930A4"/>
    <w:rsid w:val="000B41EC"/>
    <w:rsid w:val="00105B15"/>
    <w:rsid w:val="001126EA"/>
    <w:rsid w:val="0011514F"/>
    <w:rsid w:val="00167497"/>
    <w:rsid w:val="0017456A"/>
    <w:rsid w:val="00190DE0"/>
    <w:rsid w:val="00193236"/>
    <w:rsid w:val="00194A32"/>
    <w:rsid w:val="001A1C05"/>
    <w:rsid w:val="001A1CBE"/>
    <w:rsid w:val="001A66FF"/>
    <w:rsid w:val="001C2D57"/>
    <w:rsid w:val="001D45DA"/>
    <w:rsid w:val="001D4B7C"/>
    <w:rsid w:val="001F11D8"/>
    <w:rsid w:val="00235041"/>
    <w:rsid w:val="0027184F"/>
    <w:rsid w:val="00273BD0"/>
    <w:rsid w:val="002A6BE1"/>
    <w:rsid w:val="002B336E"/>
    <w:rsid w:val="002C3F54"/>
    <w:rsid w:val="002D7129"/>
    <w:rsid w:val="002E054C"/>
    <w:rsid w:val="002E2353"/>
    <w:rsid w:val="002F4252"/>
    <w:rsid w:val="00300A60"/>
    <w:rsid w:val="003143E2"/>
    <w:rsid w:val="003318B0"/>
    <w:rsid w:val="00331A95"/>
    <w:rsid w:val="003374AF"/>
    <w:rsid w:val="003468ED"/>
    <w:rsid w:val="00364AB4"/>
    <w:rsid w:val="00377076"/>
    <w:rsid w:val="00391183"/>
    <w:rsid w:val="003A3ECC"/>
    <w:rsid w:val="003B2D9F"/>
    <w:rsid w:val="003C68A2"/>
    <w:rsid w:val="00402FE9"/>
    <w:rsid w:val="004301BA"/>
    <w:rsid w:val="00436F17"/>
    <w:rsid w:val="00443FE7"/>
    <w:rsid w:val="00450871"/>
    <w:rsid w:val="00454955"/>
    <w:rsid w:val="0045758E"/>
    <w:rsid w:val="004648C4"/>
    <w:rsid w:val="004735A4"/>
    <w:rsid w:val="004A06E9"/>
    <w:rsid w:val="004B27A1"/>
    <w:rsid w:val="004B56FB"/>
    <w:rsid w:val="004C0865"/>
    <w:rsid w:val="004C0C47"/>
    <w:rsid w:val="004D7460"/>
    <w:rsid w:val="004D7D80"/>
    <w:rsid w:val="004E219C"/>
    <w:rsid w:val="004E4885"/>
    <w:rsid w:val="004E5B3A"/>
    <w:rsid w:val="004F1EF5"/>
    <w:rsid w:val="004F4D8F"/>
    <w:rsid w:val="00500A9B"/>
    <w:rsid w:val="00506A1F"/>
    <w:rsid w:val="005071CD"/>
    <w:rsid w:val="00520E7E"/>
    <w:rsid w:val="0053799B"/>
    <w:rsid w:val="0054284D"/>
    <w:rsid w:val="00542AE3"/>
    <w:rsid w:val="0054321B"/>
    <w:rsid w:val="00555DF0"/>
    <w:rsid w:val="005576F0"/>
    <w:rsid w:val="00565E69"/>
    <w:rsid w:val="00575D23"/>
    <w:rsid w:val="0059219F"/>
    <w:rsid w:val="0059367E"/>
    <w:rsid w:val="005B0210"/>
    <w:rsid w:val="005B0D7F"/>
    <w:rsid w:val="005B2442"/>
    <w:rsid w:val="005B2CD6"/>
    <w:rsid w:val="005B4FFC"/>
    <w:rsid w:val="005C74A1"/>
    <w:rsid w:val="005D6058"/>
    <w:rsid w:val="005E0D59"/>
    <w:rsid w:val="005F74CF"/>
    <w:rsid w:val="00610CDF"/>
    <w:rsid w:val="0062526C"/>
    <w:rsid w:val="006406B1"/>
    <w:rsid w:val="006476F6"/>
    <w:rsid w:val="006808B7"/>
    <w:rsid w:val="00687DF0"/>
    <w:rsid w:val="006A77AC"/>
    <w:rsid w:val="006B257A"/>
    <w:rsid w:val="006B6F4E"/>
    <w:rsid w:val="006C5FE1"/>
    <w:rsid w:val="006F4EE5"/>
    <w:rsid w:val="0072490B"/>
    <w:rsid w:val="007302F2"/>
    <w:rsid w:val="00750285"/>
    <w:rsid w:val="007535C5"/>
    <w:rsid w:val="00767076"/>
    <w:rsid w:val="007B312E"/>
    <w:rsid w:val="007B45E7"/>
    <w:rsid w:val="007C2BEC"/>
    <w:rsid w:val="007C3A64"/>
    <w:rsid w:val="007C6298"/>
    <w:rsid w:val="007D4C08"/>
    <w:rsid w:val="007D52B8"/>
    <w:rsid w:val="007D6C06"/>
    <w:rsid w:val="00800190"/>
    <w:rsid w:val="008135DC"/>
    <w:rsid w:val="00823434"/>
    <w:rsid w:val="008300FD"/>
    <w:rsid w:val="00830C31"/>
    <w:rsid w:val="00836D73"/>
    <w:rsid w:val="0085178D"/>
    <w:rsid w:val="00852D0F"/>
    <w:rsid w:val="00854374"/>
    <w:rsid w:val="00870202"/>
    <w:rsid w:val="008763F3"/>
    <w:rsid w:val="008A36A0"/>
    <w:rsid w:val="008B1855"/>
    <w:rsid w:val="008D6EED"/>
    <w:rsid w:val="008D7EAC"/>
    <w:rsid w:val="008E1981"/>
    <w:rsid w:val="008F075F"/>
    <w:rsid w:val="00935375"/>
    <w:rsid w:val="00940387"/>
    <w:rsid w:val="00991F11"/>
    <w:rsid w:val="00994401"/>
    <w:rsid w:val="00997C6E"/>
    <w:rsid w:val="009A540B"/>
    <w:rsid w:val="009A607D"/>
    <w:rsid w:val="009B47C2"/>
    <w:rsid w:val="00A0464D"/>
    <w:rsid w:val="00A11794"/>
    <w:rsid w:val="00A215E6"/>
    <w:rsid w:val="00A2513E"/>
    <w:rsid w:val="00A37C90"/>
    <w:rsid w:val="00A43848"/>
    <w:rsid w:val="00A44BA0"/>
    <w:rsid w:val="00A57AF5"/>
    <w:rsid w:val="00A61F01"/>
    <w:rsid w:val="00A95A9A"/>
    <w:rsid w:val="00AA7B6B"/>
    <w:rsid w:val="00AB04F3"/>
    <w:rsid w:val="00AC1E97"/>
    <w:rsid w:val="00AD3545"/>
    <w:rsid w:val="00AD36F6"/>
    <w:rsid w:val="00AD67E8"/>
    <w:rsid w:val="00AE27D8"/>
    <w:rsid w:val="00AE7C1D"/>
    <w:rsid w:val="00AF0496"/>
    <w:rsid w:val="00AF0913"/>
    <w:rsid w:val="00AF0B46"/>
    <w:rsid w:val="00AF6298"/>
    <w:rsid w:val="00B330FD"/>
    <w:rsid w:val="00B40523"/>
    <w:rsid w:val="00B52A7C"/>
    <w:rsid w:val="00B57FA0"/>
    <w:rsid w:val="00B705A4"/>
    <w:rsid w:val="00BD0B71"/>
    <w:rsid w:val="00BE5535"/>
    <w:rsid w:val="00BF6092"/>
    <w:rsid w:val="00C002D1"/>
    <w:rsid w:val="00C14E5F"/>
    <w:rsid w:val="00C23984"/>
    <w:rsid w:val="00C31169"/>
    <w:rsid w:val="00C31816"/>
    <w:rsid w:val="00C43DB0"/>
    <w:rsid w:val="00C50973"/>
    <w:rsid w:val="00C532FD"/>
    <w:rsid w:val="00C56240"/>
    <w:rsid w:val="00C56F37"/>
    <w:rsid w:val="00C66A24"/>
    <w:rsid w:val="00C77FF3"/>
    <w:rsid w:val="00C845A1"/>
    <w:rsid w:val="00C855BE"/>
    <w:rsid w:val="00C914DE"/>
    <w:rsid w:val="00C934C3"/>
    <w:rsid w:val="00C966C0"/>
    <w:rsid w:val="00CA2112"/>
    <w:rsid w:val="00CC0883"/>
    <w:rsid w:val="00CC7397"/>
    <w:rsid w:val="00CD7558"/>
    <w:rsid w:val="00CE777B"/>
    <w:rsid w:val="00D0202A"/>
    <w:rsid w:val="00D026CF"/>
    <w:rsid w:val="00D0745A"/>
    <w:rsid w:val="00D11DCE"/>
    <w:rsid w:val="00D23518"/>
    <w:rsid w:val="00D25508"/>
    <w:rsid w:val="00D42A5C"/>
    <w:rsid w:val="00D7288C"/>
    <w:rsid w:val="00D74440"/>
    <w:rsid w:val="00D802FD"/>
    <w:rsid w:val="00D951F6"/>
    <w:rsid w:val="00DB0ECE"/>
    <w:rsid w:val="00DC6150"/>
    <w:rsid w:val="00E04E50"/>
    <w:rsid w:val="00E05A7B"/>
    <w:rsid w:val="00E32340"/>
    <w:rsid w:val="00E37DD1"/>
    <w:rsid w:val="00E47D07"/>
    <w:rsid w:val="00E651EF"/>
    <w:rsid w:val="00E70B5E"/>
    <w:rsid w:val="00E71FBA"/>
    <w:rsid w:val="00E80401"/>
    <w:rsid w:val="00E91EBA"/>
    <w:rsid w:val="00EA1057"/>
    <w:rsid w:val="00EA6398"/>
    <w:rsid w:val="00EB4213"/>
    <w:rsid w:val="00EB59CE"/>
    <w:rsid w:val="00ED6D13"/>
    <w:rsid w:val="00F0419F"/>
    <w:rsid w:val="00F231FC"/>
    <w:rsid w:val="00F24BDB"/>
    <w:rsid w:val="00F32271"/>
    <w:rsid w:val="00F33985"/>
    <w:rsid w:val="00F55C70"/>
    <w:rsid w:val="00F6459D"/>
    <w:rsid w:val="00F67C4B"/>
    <w:rsid w:val="00F70980"/>
    <w:rsid w:val="00F81848"/>
    <w:rsid w:val="00F835DE"/>
    <w:rsid w:val="00F9210E"/>
    <w:rsid w:val="00F9513B"/>
    <w:rsid w:val="00F9570C"/>
    <w:rsid w:val="00FA20F4"/>
    <w:rsid w:val="00FB4492"/>
    <w:rsid w:val="00FB449F"/>
    <w:rsid w:val="00FD1891"/>
    <w:rsid w:val="00FD1DAF"/>
    <w:rsid w:val="00FD4A49"/>
    <w:rsid w:val="00FE4275"/>
    <w:rsid w:val="00FF44A9"/>
    <w:rsid w:val="00FF565A"/>
    <w:rsid w:val="0296734C"/>
    <w:rsid w:val="02F7364A"/>
    <w:rsid w:val="05257C19"/>
    <w:rsid w:val="07A102D5"/>
    <w:rsid w:val="07D84900"/>
    <w:rsid w:val="0A1D1678"/>
    <w:rsid w:val="0A6D5929"/>
    <w:rsid w:val="0B84694D"/>
    <w:rsid w:val="0C39537E"/>
    <w:rsid w:val="0D026C5D"/>
    <w:rsid w:val="0D6D136A"/>
    <w:rsid w:val="0D935B07"/>
    <w:rsid w:val="0E1A6503"/>
    <w:rsid w:val="0F36160B"/>
    <w:rsid w:val="113F6F3F"/>
    <w:rsid w:val="126202A7"/>
    <w:rsid w:val="13623FB2"/>
    <w:rsid w:val="154D383C"/>
    <w:rsid w:val="16BE5F97"/>
    <w:rsid w:val="173B6FF4"/>
    <w:rsid w:val="17470404"/>
    <w:rsid w:val="17CD031D"/>
    <w:rsid w:val="19044D06"/>
    <w:rsid w:val="19794C8B"/>
    <w:rsid w:val="1A253245"/>
    <w:rsid w:val="1A840D07"/>
    <w:rsid w:val="1B0B59E4"/>
    <w:rsid w:val="1D3F47FF"/>
    <w:rsid w:val="1DC50F6C"/>
    <w:rsid w:val="228C020B"/>
    <w:rsid w:val="22B42350"/>
    <w:rsid w:val="232C1EE7"/>
    <w:rsid w:val="236B5D52"/>
    <w:rsid w:val="24747FE9"/>
    <w:rsid w:val="25383321"/>
    <w:rsid w:val="25D56865"/>
    <w:rsid w:val="29C4759E"/>
    <w:rsid w:val="2A5904DC"/>
    <w:rsid w:val="2A77746D"/>
    <w:rsid w:val="2A9A0BD6"/>
    <w:rsid w:val="2BDD5AA9"/>
    <w:rsid w:val="2E205CFE"/>
    <w:rsid w:val="2E916FFA"/>
    <w:rsid w:val="2ECF7E23"/>
    <w:rsid w:val="2F177EEF"/>
    <w:rsid w:val="2F93149F"/>
    <w:rsid w:val="30B10D52"/>
    <w:rsid w:val="31696E81"/>
    <w:rsid w:val="317433D6"/>
    <w:rsid w:val="32955B35"/>
    <w:rsid w:val="337616F9"/>
    <w:rsid w:val="345F0AD2"/>
    <w:rsid w:val="35E91492"/>
    <w:rsid w:val="36273ADD"/>
    <w:rsid w:val="373E08DE"/>
    <w:rsid w:val="37C130EE"/>
    <w:rsid w:val="388F23E2"/>
    <w:rsid w:val="39CA608C"/>
    <w:rsid w:val="3B3E47CB"/>
    <w:rsid w:val="3BDB1EF9"/>
    <w:rsid w:val="3E666F10"/>
    <w:rsid w:val="3F3B5D50"/>
    <w:rsid w:val="3FAD0347"/>
    <w:rsid w:val="4024327D"/>
    <w:rsid w:val="40AB3DD9"/>
    <w:rsid w:val="415C229D"/>
    <w:rsid w:val="44B5611E"/>
    <w:rsid w:val="46BB5AF0"/>
    <w:rsid w:val="488F6909"/>
    <w:rsid w:val="49EB003D"/>
    <w:rsid w:val="4B02057F"/>
    <w:rsid w:val="4E2F6E05"/>
    <w:rsid w:val="4F13731B"/>
    <w:rsid w:val="51B64EEE"/>
    <w:rsid w:val="536628CE"/>
    <w:rsid w:val="53E42E4F"/>
    <w:rsid w:val="544121E6"/>
    <w:rsid w:val="546E136A"/>
    <w:rsid w:val="555418EB"/>
    <w:rsid w:val="564D582A"/>
    <w:rsid w:val="56D92459"/>
    <w:rsid w:val="59A57E04"/>
    <w:rsid w:val="5A8176E8"/>
    <w:rsid w:val="5A9A1A68"/>
    <w:rsid w:val="5D2219C3"/>
    <w:rsid w:val="5D7A7717"/>
    <w:rsid w:val="5DAA1DAA"/>
    <w:rsid w:val="5F450876"/>
    <w:rsid w:val="5FD62F65"/>
    <w:rsid w:val="60D3786A"/>
    <w:rsid w:val="622E34CB"/>
    <w:rsid w:val="631416F0"/>
    <w:rsid w:val="63CD05A1"/>
    <w:rsid w:val="644D16E1"/>
    <w:rsid w:val="6454481E"/>
    <w:rsid w:val="6489381A"/>
    <w:rsid w:val="64AD46DC"/>
    <w:rsid w:val="64BE13A0"/>
    <w:rsid w:val="657C141C"/>
    <w:rsid w:val="66BD3AE0"/>
    <w:rsid w:val="67272E12"/>
    <w:rsid w:val="67A21D44"/>
    <w:rsid w:val="68C42B63"/>
    <w:rsid w:val="699C4D1C"/>
    <w:rsid w:val="6A4F377E"/>
    <w:rsid w:val="6AA855DF"/>
    <w:rsid w:val="6B580F0F"/>
    <w:rsid w:val="6DC82F59"/>
    <w:rsid w:val="6E6400F5"/>
    <w:rsid w:val="6E666B1C"/>
    <w:rsid w:val="6F3C0797"/>
    <w:rsid w:val="6F7B0EC2"/>
    <w:rsid w:val="70667E4D"/>
    <w:rsid w:val="70912956"/>
    <w:rsid w:val="73EA118A"/>
    <w:rsid w:val="74045891"/>
    <w:rsid w:val="75D73501"/>
    <w:rsid w:val="75ED062E"/>
    <w:rsid w:val="77654092"/>
    <w:rsid w:val="77804B1B"/>
    <w:rsid w:val="78C84378"/>
    <w:rsid w:val="7A1E34AC"/>
    <w:rsid w:val="7AAD2A82"/>
    <w:rsid w:val="7B564CA8"/>
    <w:rsid w:val="7E3F1E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semiHidden="0"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4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6"/>
    <w:semiHidden/>
    <w:unhideWhenUsed/>
    <w:qFormat/>
    <w:uiPriority w:val="99"/>
    <w:pPr>
      <w:jc w:val="left"/>
    </w:pPr>
    <w:rPr>
      <w:rFonts w:ascii="Times New Roman" w:hAnsi="Times New Roman" w:eastAsia="宋体" w:cs="Times New Roman"/>
      <w:szCs w:val="24"/>
    </w:rPr>
  </w:style>
  <w:style w:type="paragraph" w:styleId="5">
    <w:name w:val="Body Text Indent 2"/>
    <w:basedOn w:val="1"/>
    <w:link w:val="41"/>
    <w:unhideWhenUsed/>
    <w:qFormat/>
    <w:uiPriority w:val="0"/>
    <w:pPr>
      <w:spacing w:after="120" w:line="480" w:lineRule="auto"/>
      <w:ind w:left="420" w:leftChars="200" w:firstLine="200" w:firstLineChars="200"/>
    </w:pPr>
    <w:rPr>
      <w:rFonts w:ascii="Times New Roman" w:hAnsi="Times New Roman" w:eastAsia="宋体" w:cs="Times New Roman"/>
      <w:sz w:val="24"/>
      <w:szCs w:val="20"/>
    </w:rPr>
  </w:style>
  <w:style w:type="paragraph" w:styleId="6">
    <w:name w:val="Balloon Text"/>
    <w:basedOn w:val="1"/>
    <w:link w:val="20"/>
    <w:semiHidden/>
    <w:unhideWhenUsed/>
    <w:qFormat/>
    <w:uiPriority w:val="99"/>
    <w:rPr>
      <w:rFonts w:ascii="Times New Roman" w:hAnsi="Times New Roman" w:eastAsia="宋体" w:cs="Times New Roman"/>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after="150"/>
      <w:jc w:val="left"/>
    </w:pPr>
    <w:rPr>
      <w:rFonts w:ascii="Calibri" w:hAnsi="Calibri" w:eastAsia="宋体" w:cs="Times New Roman"/>
      <w:kern w:val="0"/>
      <w:sz w:val="24"/>
      <w:szCs w:val="24"/>
    </w:rPr>
  </w:style>
  <w:style w:type="paragraph" w:styleId="10">
    <w:name w:val="annotation subject"/>
    <w:basedOn w:val="4"/>
    <w:next w:val="4"/>
    <w:link w:val="21"/>
    <w:semiHidden/>
    <w:unhideWhenUsed/>
    <w:qFormat/>
    <w:uiPriority w:val="99"/>
    <w:rPr>
      <w:b/>
      <w:bCs/>
    </w:rPr>
  </w:style>
  <w:style w:type="character" w:styleId="13">
    <w:name w:val="FollowedHyperlink"/>
    <w:basedOn w:val="12"/>
    <w:semiHidden/>
    <w:unhideWhenUsed/>
    <w:qFormat/>
    <w:uiPriority w:val="99"/>
    <w:rPr>
      <w:color w:val="7F007F"/>
      <w:u w:val="single"/>
    </w:rPr>
  </w:style>
  <w:style w:type="character" w:styleId="14">
    <w:name w:val="Hyperlink"/>
    <w:basedOn w:val="12"/>
    <w:semiHidden/>
    <w:unhideWhenUsed/>
    <w:qFormat/>
    <w:uiPriority w:val="99"/>
    <w:rPr>
      <w:color w:val="0000FF"/>
      <w:u w:val="single"/>
    </w:rPr>
  </w:style>
  <w:style w:type="character" w:styleId="15">
    <w:name w:val="annotation reference"/>
    <w:basedOn w:val="12"/>
    <w:semiHidden/>
    <w:unhideWhenUsed/>
    <w:qFormat/>
    <w:uiPriority w:val="99"/>
    <w:rPr>
      <w:sz w:val="21"/>
      <w:szCs w:val="21"/>
    </w:rPr>
  </w:style>
  <w:style w:type="character" w:customStyle="1" w:styleId="16">
    <w:name w:val="批注文字 字符"/>
    <w:basedOn w:val="12"/>
    <w:link w:val="4"/>
    <w:semiHidden/>
    <w:qFormat/>
    <w:uiPriority w:val="99"/>
    <w:rPr>
      <w:rFonts w:ascii="Times New Roman" w:hAnsi="Times New Roman" w:eastAsia="宋体" w:cs="Times New Roman"/>
      <w:szCs w:val="24"/>
    </w:rPr>
  </w:style>
  <w:style w:type="character" w:customStyle="1" w:styleId="17">
    <w:name w:val="页脚 字符"/>
    <w:basedOn w:val="12"/>
    <w:link w:val="7"/>
    <w:qFormat/>
    <w:uiPriority w:val="99"/>
    <w:rPr>
      <w:sz w:val="18"/>
      <w:szCs w:val="18"/>
    </w:rPr>
  </w:style>
  <w:style w:type="character" w:customStyle="1" w:styleId="18">
    <w:name w:val="页眉 字符"/>
    <w:basedOn w:val="12"/>
    <w:link w:val="8"/>
    <w:qFormat/>
    <w:uiPriority w:val="99"/>
    <w:rPr>
      <w:sz w:val="18"/>
      <w:szCs w:val="18"/>
    </w:rPr>
  </w:style>
  <w:style w:type="paragraph" w:customStyle="1" w:styleId="19">
    <w:name w:val="_Style 2"/>
    <w:basedOn w:val="1"/>
    <w:qFormat/>
    <w:uiPriority w:val="0"/>
    <w:pPr>
      <w:ind w:firstLine="420" w:firstLineChars="200"/>
    </w:pPr>
    <w:rPr>
      <w:rFonts w:ascii="Calibri" w:hAnsi="Calibri" w:eastAsia="宋体" w:cs="Times New Roman"/>
    </w:rPr>
  </w:style>
  <w:style w:type="character" w:customStyle="1" w:styleId="20">
    <w:name w:val="批注框文本 字符"/>
    <w:basedOn w:val="12"/>
    <w:link w:val="6"/>
    <w:semiHidden/>
    <w:qFormat/>
    <w:uiPriority w:val="99"/>
    <w:rPr>
      <w:rFonts w:ascii="Times New Roman" w:hAnsi="Times New Roman" w:eastAsia="宋体" w:cs="Times New Roman"/>
      <w:sz w:val="18"/>
      <w:szCs w:val="18"/>
    </w:rPr>
  </w:style>
  <w:style w:type="character" w:customStyle="1" w:styleId="21">
    <w:name w:val="批注主题 字符"/>
    <w:basedOn w:val="16"/>
    <w:link w:val="10"/>
    <w:semiHidden/>
    <w:qFormat/>
    <w:uiPriority w:val="99"/>
    <w:rPr>
      <w:rFonts w:ascii="Times New Roman" w:hAnsi="Times New Roman" w:eastAsia="宋体" w:cs="Times New Roman"/>
      <w:b/>
      <w:bCs/>
      <w:szCs w:val="24"/>
    </w:rPr>
  </w:style>
  <w:style w:type="paragraph" w:styleId="22">
    <w:name w:val="List Paragraph"/>
    <w:basedOn w:val="1"/>
    <w:unhideWhenUsed/>
    <w:qFormat/>
    <w:uiPriority w:val="99"/>
    <w:pPr>
      <w:ind w:firstLine="420" w:firstLineChars="200"/>
    </w:pPr>
    <w:rPr>
      <w:rFonts w:ascii="Times New Roman" w:hAnsi="Times New Roman" w:eastAsia="宋体" w:cs="Times New Roman"/>
      <w:szCs w:val="24"/>
    </w:rPr>
  </w:style>
  <w:style w:type="paragraph" w:customStyle="1" w:styleId="23">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4">
    <w:name w:val="font6"/>
    <w:basedOn w:val="1"/>
    <w:qFormat/>
    <w:uiPriority w:val="0"/>
    <w:pPr>
      <w:widowControl/>
      <w:spacing w:before="100" w:beforeAutospacing="1" w:after="100" w:afterAutospacing="1"/>
      <w:jc w:val="left"/>
    </w:pPr>
    <w:rPr>
      <w:rFonts w:ascii="Times New Roman" w:hAnsi="Times New Roman" w:eastAsia="宋体" w:cs="Times New Roman"/>
      <w:b/>
      <w:bCs/>
      <w:color w:val="000000"/>
      <w:kern w:val="0"/>
      <w:sz w:val="24"/>
      <w:szCs w:val="24"/>
    </w:rPr>
  </w:style>
  <w:style w:type="paragraph" w:customStyle="1" w:styleId="25">
    <w:name w:val="font7"/>
    <w:basedOn w:val="1"/>
    <w:qFormat/>
    <w:uiPriority w:val="0"/>
    <w:pPr>
      <w:widowControl/>
      <w:spacing w:before="100" w:beforeAutospacing="1" w:after="100" w:afterAutospacing="1"/>
      <w:jc w:val="left"/>
    </w:pPr>
    <w:rPr>
      <w:rFonts w:ascii="宋体" w:hAnsi="宋体" w:eastAsia="宋体" w:cs="宋体"/>
      <w:b/>
      <w:bCs/>
      <w:color w:val="000000"/>
      <w:kern w:val="0"/>
      <w:sz w:val="24"/>
      <w:szCs w:val="24"/>
    </w:rPr>
  </w:style>
  <w:style w:type="paragraph" w:customStyle="1" w:styleId="26">
    <w:name w:val="xl8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27">
    <w:name w:val="xl85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24"/>
      <w:szCs w:val="24"/>
    </w:rPr>
  </w:style>
  <w:style w:type="paragraph" w:customStyle="1" w:styleId="28">
    <w:name w:val="xl86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Cs w:val="21"/>
    </w:rPr>
  </w:style>
  <w:style w:type="paragraph" w:customStyle="1" w:styleId="29">
    <w:name w:val="xl8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b/>
      <w:bCs/>
      <w:color w:val="FF0000"/>
      <w:kern w:val="0"/>
      <w:sz w:val="24"/>
      <w:szCs w:val="24"/>
    </w:rPr>
  </w:style>
  <w:style w:type="paragraph" w:customStyle="1" w:styleId="30">
    <w:name w:val="xl86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b/>
      <w:bCs/>
      <w:color w:val="FF0000"/>
      <w:kern w:val="0"/>
      <w:szCs w:val="21"/>
    </w:rPr>
  </w:style>
  <w:style w:type="paragraph" w:customStyle="1" w:styleId="31">
    <w:name w:val="xl8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4"/>
      <w:szCs w:val="24"/>
    </w:rPr>
  </w:style>
  <w:style w:type="paragraph" w:customStyle="1" w:styleId="32">
    <w:name w:val="xl8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Cs w:val="21"/>
    </w:rPr>
  </w:style>
  <w:style w:type="paragraph" w:customStyle="1" w:styleId="33">
    <w:name w:val="xl865"/>
    <w:basedOn w:val="1"/>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34">
    <w:name w:val="xl866"/>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Times New Roman" w:hAnsi="Times New Roman" w:eastAsia="宋体" w:cs="Times New Roman"/>
      <w:b/>
      <w:bCs/>
      <w:color w:val="FF0000"/>
      <w:kern w:val="0"/>
      <w:sz w:val="24"/>
      <w:szCs w:val="24"/>
    </w:rPr>
  </w:style>
  <w:style w:type="paragraph" w:customStyle="1" w:styleId="35">
    <w:name w:val="xl8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b/>
      <w:bCs/>
      <w:color w:val="948A54"/>
      <w:kern w:val="0"/>
      <w:sz w:val="24"/>
      <w:szCs w:val="24"/>
    </w:rPr>
  </w:style>
  <w:style w:type="paragraph" w:customStyle="1" w:styleId="36">
    <w:name w:val="xl868"/>
    <w:basedOn w:val="1"/>
    <w:qFormat/>
    <w:uiPriority w:val="0"/>
    <w:pPr>
      <w:widowControl/>
      <w:spacing w:before="100" w:beforeAutospacing="1" w:after="100" w:afterAutospacing="1"/>
      <w:jc w:val="left"/>
    </w:pPr>
    <w:rPr>
      <w:rFonts w:ascii="宋体" w:hAnsi="宋体" w:eastAsia="宋体" w:cs="宋体"/>
      <w:color w:val="948A54"/>
      <w:kern w:val="0"/>
      <w:sz w:val="24"/>
      <w:szCs w:val="24"/>
    </w:rPr>
  </w:style>
  <w:style w:type="paragraph" w:customStyle="1" w:styleId="37">
    <w:name w:val="xl8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b/>
      <w:bCs/>
      <w:kern w:val="0"/>
      <w:sz w:val="24"/>
      <w:szCs w:val="24"/>
    </w:rPr>
  </w:style>
  <w:style w:type="paragraph" w:customStyle="1" w:styleId="38">
    <w:name w:val="xl870"/>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eastAsia="宋体" w:cs="宋体"/>
      <w:b/>
      <w:bCs/>
      <w:color w:val="FF0000"/>
      <w:kern w:val="0"/>
      <w:sz w:val="24"/>
      <w:szCs w:val="24"/>
    </w:rPr>
  </w:style>
  <w:style w:type="paragraph" w:customStyle="1" w:styleId="39">
    <w:name w:val="xl8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color w:val="948A54"/>
      <w:kern w:val="0"/>
      <w:sz w:val="24"/>
      <w:szCs w:val="24"/>
    </w:rPr>
  </w:style>
  <w:style w:type="paragraph" w:customStyle="1" w:styleId="40">
    <w:name w:val="xl8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color w:val="FF0000"/>
      <w:kern w:val="0"/>
      <w:sz w:val="24"/>
      <w:szCs w:val="24"/>
    </w:rPr>
  </w:style>
  <w:style w:type="character" w:customStyle="1" w:styleId="41">
    <w:name w:val="正文文本缩进 2 字符"/>
    <w:basedOn w:val="12"/>
    <w:link w:val="5"/>
    <w:qFormat/>
    <w:uiPriority w:val="0"/>
    <w:rPr>
      <w:rFonts w:ascii="Times New Roman" w:hAnsi="Times New Roman" w:eastAsia="宋体" w:cs="Times New Roman"/>
      <w:sz w:val="24"/>
      <w:szCs w:val="20"/>
    </w:rPr>
  </w:style>
  <w:style w:type="character" w:customStyle="1" w:styleId="42">
    <w:name w:val="标题 2 字符"/>
    <w:basedOn w:val="12"/>
    <w:link w:val="3"/>
    <w:qFormat/>
    <w:uiPriority w:val="9"/>
    <w:rPr>
      <w:rFonts w:asciiTheme="majorHAnsi" w:hAnsiTheme="majorHAnsi" w:eastAsiaTheme="majorEastAsia" w:cstheme="majorBidi"/>
      <w:b/>
      <w:bCs/>
      <w:kern w:val="2"/>
      <w:sz w:val="32"/>
      <w:szCs w:val="32"/>
    </w:rPr>
  </w:style>
  <w:style w:type="character" w:customStyle="1" w:styleId="43">
    <w:name w:val="标题 1 字符"/>
    <w:basedOn w:val="12"/>
    <w:link w:val="2"/>
    <w:qFormat/>
    <w:uiPriority w:val="9"/>
    <w:rPr>
      <w:b/>
      <w:bCs/>
      <w:kern w:val="44"/>
      <w:sz w:val="44"/>
      <w:szCs w:val="44"/>
    </w:rPr>
  </w:style>
  <w:style w:type="paragraph" w:customStyle="1" w:styleId="44">
    <w:name w:val="修订1"/>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LTSC</Company>
  <Pages>14</Pages>
  <Words>474</Words>
  <Characters>549</Characters>
  <Lines>212</Lines>
  <Paragraphs>182</Paragraphs>
  <TotalTime>11</TotalTime>
  <ScaleCrop>false</ScaleCrop>
  <LinksUpToDate>false</LinksUpToDate>
  <CharactersWithSpaces>567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2022-03-29T02:42:00Z</dcterms:created>
  <dc:creator>dreamsummit</dc:creator>
  <cp:lastModifiedBy>郑怀宇</cp:lastModifiedBy>
  <dcterms:modified xsi:type="dcterms:W3CDTF">2025-10-23T02:20:34Z</dcterms:modified>
  <cp:revision>159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D224739ED1CF4B2A80AC90B1F5D83B13_13</vt:lpwstr>
  </property>
  <property fmtid="{D5CDD505-2E9C-101B-9397-08002B2CF9AE}" pid="4" name="KSOTemplateDocerSaveRecord">
    <vt:lpwstr>eyJoZGlkIjoiNWI5OWJmMWQxZWY2OGJlM2ZjYWQxM2QxODEyMzg4ZWQiLCJ1c2VySWQiOiIxNDcxNTg3NDEzIn0=</vt:lpwstr>
  </property>
</Properties>
</file>