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7FC0E">
      <w:pPr>
        <w:pStyle w:val="2"/>
        <w:numPr>
          <w:ilvl w:val="0"/>
          <w:numId w:val="0"/>
        </w:numPr>
        <w:ind w:left="425" w:hanging="425"/>
        <w:jc w:val="center"/>
        <w:rPr>
          <w:rFonts w:hint="eastAsia" w:eastAsia="微软雅黑"/>
          <w:lang w:eastAsia="zh-CN"/>
        </w:rPr>
      </w:pPr>
      <w:bookmarkStart w:id="0" w:name="_Toc2120912001"/>
      <w:bookmarkStart w:id="1" w:name="_Toc681121221"/>
      <w:bookmarkStart w:id="2" w:name="_Toc179986454"/>
      <w:bookmarkStart w:id="3" w:name="_Toc1146567131"/>
      <w:r>
        <w:rPr>
          <w:rFonts w:hint="eastAsia"/>
          <w:lang w:val="en-US" w:eastAsia="zh-CN"/>
        </w:rPr>
        <w:t>2025-2026年等保测评及网络安全服务参数</w:t>
      </w:r>
    </w:p>
    <w:bookmarkEnd w:id="0"/>
    <w:bookmarkEnd w:id="1"/>
    <w:bookmarkEnd w:id="2"/>
    <w:bookmarkEnd w:id="3"/>
    <w:p w14:paraId="23ED67A0">
      <w:pPr>
        <w:pStyle w:val="3"/>
        <w:rPr>
          <w:rFonts w:hint="eastAsia"/>
        </w:rPr>
      </w:pPr>
      <w:bookmarkStart w:id="4" w:name="_Toc793271731"/>
      <w:bookmarkStart w:id="5" w:name="_Toc1516522837"/>
      <w:bookmarkStart w:id="6" w:name="_Toc86944254"/>
      <w:r>
        <w:rPr>
          <w:rFonts w:hint="eastAsia"/>
        </w:rPr>
        <w:t>服务范围</w:t>
      </w:r>
      <w:bookmarkEnd w:id="4"/>
    </w:p>
    <w:p w14:paraId="65AD23FD">
      <w:pPr>
        <w:pStyle w:val="22"/>
        <w:spacing w:line="360" w:lineRule="auto"/>
        <w:ind w:firstLine="480" w:firstLineChars="200"/>
        <w:rPr>
          <w:rFonts w:hint="eastAsia" w:ascii="宋体" w:hAnsi="宋体"/>
          <w:sz w:val="24"/>
          <w:szCs w:val="24"/>
        </w:rPr>
      </w:pPr>
      <w:r>
        <w:rPr>
          <w:rFonts w:hint="eastAsia" w:ascii="宋体" w:hAnsi="宋体"/>
          <w:sz w:val="24"/>
          <w:szCs w:val="24"/>
        </w:rPr>
        <w:t>本次安全运维服务针对福建中医药大学及其直属单位的相关重要应用系统。</w:t>
      </w:r>
    </w:p>
    <w:p w14:paraId="3E4A89F6">
      <w:pPr>
        <w:pStyle w:val="3"/>
        <w:rPr>
          <w:rFonts w:hint="eastAsia"/>
        </w:rPr>
      </w:pPr>
      <w:r>
        <w:rPr>
          <w:rFonts w:hint="eastAsia"/>
        </w:rPr>
        <w:t>服务周期</w:t>
      </w:r>
    </w:p>
    <w:p w14:paraId="4C9B6F2B">
      <w:pPr>
        <w:pStyle w:val="22"/>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lang w:val="en-US" w:eastAsia="zh-CN"/>
        </w:rPr>
        <w:t>合同签订后24个月</w:t>
      </w:r>
    </w:p>
    <w:p w14:paraId="0204A56F">
      <w:pPr>
        <w:pStyle w:val="3"/>
        <w:rPr>
          <w:rFonts w:hint="eastAsia"/>
        </w:rPr>
      </w:pPr>
      <w:r>
        <w:rPr>
          <w:rFonts w:hint="eastAsia"/>
        </w:rPr>
        <w:t>服务内容</w:t>
      </w:r>
    </w:p>
    <w:bookmarkEnd w:id="5"/>
    <w:p w14:paraId="074B3A84">
      <w:pPr>
        <w:pStyle w:val="4"/>
        <w:rPr>
          <w:rFonts w:hint="eastAsia"/>
          <w:lang w:eastAsia="zh-Hans"/>
        </w:rPr>
      </w:pPr>
      <w:bookmarkStart w:id="7" w:name="_Toc54004392"/>
      <w:bookmarkStart w:id="8" w:name="_Toc1625292428"/>
      <w:r>
        <w:rPr>
          <w:rFonts w:hint="eastAsia"/>
          <w:lang w:eastAsia="zh-Hans"/>
        </w:rPr>
        <w:t>等保合规建设服务</w:t>
      </w:r>
      <w:bookmarkEnd w:id="7"/>
      <w:bookmarkEnd w:id="8"/>
    </w:p>
    <w:p w14:paraId="6C108D5B">
      <w:pPr>
        <w:pStyle w:val="5"/>
        <w:rPr>
          <w:rFonts w:hint="eastAsia"/>
        </w:rPr>
      </w:pPr>
      <w:bookmarkStart w:id="9" w:name="_Toc23749"/>
      <w:r>
        <w:rPr>
          <w:rFonts w:hint="eastAsia"/>
        </w:rPr>
        <w:t>网络安全等级保护咨询服务</w:t>
      </w:r>
      <w:bookmarkEnd w:id="9"/>
    </w:p>
    <w:p w14:paraId="520BBDC1">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资产梳理</w:t>
      </w:r>
    </w:p>
    <w:p w14:paraId="277B80C9">
      <w:pPr>
        <w:adjustRightInd w:val="0"/>
        <w:snapToGrid w:val="0"/>
        <w:ind w:firstLine="480" w:firstLineChars="200"/>
        <w:rPr>
          <w:rFonts w:hint="eastAsia" w:ascii="微软雅黑" w:hAnsi="微软雅黑" w:eastAsia="微软雅黑"/>
        </w:rPr>
      </w:pPr>
      <w:r>
        <w:rPr>
          <w:rFonts w:hint="eastAsia" w:ascii="微软雅黑" w:hAnsi="微软雅黑" w:eastAsia="微软雅黑"/>
        </w:rPr>
        <w:t>对服务范围内信息系统相关的物理环境、网络结构、主机以及业务系统进行摸底调研，进行资产梳理，了解信息安全的状况。</w:t>
      </w:r>
    </w:p>
    <w:p w14:paraId="48087988">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定级备案</w:t>
      </w:r>
    </w:p>
    <w:p w14:paraId="082B406F">
      <w:pPr>
        <w:pStyle w:val="50"/>
        <w:adjustRightInd w:val="0"/>
        <w:snapToGrid w:val="0"/>
        <w:spacing w:line="360" w:lineRule="auto"/>
        <w:ind w:firstLine="480"/>
        <w:rPr>
          <w:rFonts w:hint="eastAsia" w:ascii="微软雅黑" w:hAnsi="微软雅黑" w:eastAsia="微软雅黑"/>
          <w:sz w:val="24"/>
          <w:szCs w:val="24"/>
        </w:rPr>
      </w:pPr>
      <w:r>
        <w:rPr>
          <w:rFonts w:hint="eastAsia" w:ascii="微软雅黑" w:hAnsi="微软雅黑" w:eastAsia="微软雅黑"/>
          <w:sz w:val="24"/>
          <w:szCs w:val="24"/>
        </w:rPr>
        <w:t>依据《网络安全等级保护定级指南》，灵活运用指南中所提出的确定信息系统安全保护等级的步骤和方法，在信息系统业务安全性分析的基础上，提出定级建议，根据用户当地网安要求，协助用户进行系统定级和备案。</w:t>
      </w:r>
    </w:p>
    <w:p w14:paraId="7E53969F">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差距分析</w:t>
      </w:r>
    </w:p>
    <w:p w14:paraId="67C649B8">
      <w:pPr>
        <w:pStyle w:val="50"/>
        <w:adjustRightInd w:val="0"/>
        <w:snapToGrid w:val="0"/>
        <w:spacing w:line="360" w:lineRule="auto"/>
        <w:ind w:firstLine="480"/>
        <w:rPr>
          <w:rFonts w:hint="eastAsia" w:ascii="微软雅黑" w:hAnsi="微软雅黑" w:eastAsia="微软雅黑"/>
          <w:sz w:val="24"/>
          <w:szCs w:val="24"/>
        </w:rPr>
      </w:pPr>
      <w:r>
        <w:rPr>
          <w:rFonts w:hint="eastAsia" w:ascii="微软雅黑" w:hAnsi="微软雅黑" w:eastAsia="微软雅黑"/>
          <w:sz w:val="24"/>
          <w:szCs w:val="24"/>
        </w:rPr>
        <w:t>根据系统的安全等级选择和确定系统基本安全要求指标，然后按照安全指标评估系统安全现状，找出系统现状与安全指标之间的差距，输出差距分析表。</w:t>
      </w:r>
    </w:p>
    <w:p w14:paraId="3D0710B4">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规划整改</w:t>
      </w:r>
    </w:p>
    <w:p w14:paraId="5318A2B4">
      <w:pPr>
        <w:pStyle w:val="50"/>
        <w:adjustRightInd w:val="0"/>
        <w:snapToGrid w:val="0"/>
        <w:spacing w:line="360" w:lineRule="auto"/>
        <w:ind w:firstLine="480"/>
        <w:rPr>
          <w:rFonts w:hint="eastAsia" w:ascii="微软雅黑" w:hAnsi="微软雅黑" w:eastAsia="微软雅黑"/>
          <w:sz w:val="24"/>
          <w:szCs w:val="24"/>
        </w:rPr>
      </w:pPr>
      <w:r>
        <w:rPr>
          <w:rFonts w:hint="eastAsia" w:ascii="微软雅黑" w:hAnsi="微软雅黑" w:eastAsia="微软雅黑"/>
          <w:sz w:val="24"/>
          <w:szCs w:val="24"/>
        </w:rPr>
        <w:t>根据差距分析表，结合信息系统的具体情况，从两个方面进行规划整改：①从安全物理环境、安全通信网络、安全区域边界、安全计算环境以及安全管理中心五个层面进行安全技术加固工作；②从安全管理制度、安全管理机构、安全管理人员、安全建设管理以及安全运维管五个层面做好安全管理整改工作。输出《等级保护整改方案》</w:t>
      </w:r>
    </w:p>
    <w:p w14:paraId="7326C102">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整改实施</w:t>
      </w:r>
    </w:p>
    <w:p w14:paraId="30C75FF7">
      <w:pPr>
        <w:pStyle w:val="50"/>
        <w:adjustRightInd w:val="0"/>
        <w:snapToGrid w:val="0"/>
        <w:spacing w:line="360" w:lineRule="auto"/>
        <w:ind w:firstLine="480"/>
        <w:rPr>
          <w:rFonts w:hint="eastAsia" w:ascii="微软雅黑" w:hAnsi="微软雅黑" w:eastAsia="微软雅黑"/>
          <w:sz w:val="24"/>
          <w:szCs w:val="24"/>
        </w:rPr>
      </w:pPr>
      <w:r>
        <w:rPr>
          <w:rFonts w:hint="eastAsia" w:ascii="微软雅黑" w:hAnsi="微软雅黑" w:eastAsia="微软雅黑"/>
          <w:sz w:val="24"/>
          <w:szCs w:val="24"/>
        </w:rPr>
        <w:t>根据整改方案，配合用户进行整改实施。</w:t>
      </w:r>
    </w:p>
    <w:p w14:paraId="6BB9527B">
      <w:pPr>
        <w:pStyle w:val="50"/>
        <w:numPr>
          <w:ilvl w:val="0"/>
          <w:numId w:val="4"/>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辅助测评</w:t>
      </w:r>
    </w:p>
    <w:p w14:paraId="3F9E2B06">
      <w:pPr>
        <w:pStyle w:val="50"/>
        <w:adjustRightInd w:val="0"/>
        <w:snapToGrid w:val="0"/>
        <w:spacing w:line="360" w:lineRule="auto"/>
        <w:ind w:firstLine="480"/>
        <w:rPr>
          <w:rFonts w:hint="eastAsia" w:ascii="微软雅黑" w:hAnsi="微软雅黑" w:eastAsia="微软雅黑"/>
          <w:sz w:val="24"/>
          <w:szCs w:val="24"/>
        </w:rPr>
      </w:pPr>
      <w:r>
        <w:rPr>
          <w:rFonts w:hint="eastAsia" w:ascii="微软雅黑" w:hAnsi="微软雅黑" w:eastAsia="微软雅黑"/>
          <w:sz w:val="24"/>
          <w:szCs w:val="24"/>
        </w:rPr>
        <w:t>等级测评在整个等级保护工作中是非常关键的一环，等级测评会对前期的安全建设工作给出一个量化的测评结果，是等级保护建设工作的成败关键。投标人需要配合用户完成：测评前的准备工作、配合测评机构进行测评、与测评机构的沟通、取得良好的测评结果。</w:t>
      </w:r>
    </w:p>
    <w:p w14:paraId="31E56637"/>
    <w:p w14:paraId="488F0813">
      <w:pPr>
        <w:pStyle w:val="5"/>
        <w:rPr>
          <w:rFonts w:hint="eastAsia"/>
        </w:rPr>
      </w:pPr>
      <w:bookmarkStart w:id="10" w:name="_Toc255"/>
      <w:r>
        <w:rPr>
          <w:rFonts w:hint="eastAsia"/>
        </w:rPr>
        <w:t>网络安全等级保护测评服务</w:t>
      </w:r>
      <w:bookmarkEnd w:id="10"/>
    </w:p>
    <w:p w14:paraId="32358E4E">
      <w:pPr>
        <w:pStyle w:val="50"/>
        <w:numPr>
          <w:ilvl w:val="0"/>
          <w:numId w:val="5"/>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提供一年一次网络安全等级保护测评服务（含七个以内三级、六个以内二级系统）</w:t>
      </w:r>
    </w:p>
    <w:p w14:paraId="4BA1122A">
      <w:pPr>
        <w:pStyle w:val="50"/>
        <w:numPr>
          <w:ilvl w:val="0"/>
          <w:numId w:val="5"/>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测评机构须依据国家《中华人民共和国计算机信息系统安全保护条例》（国务院147号令）、《信息安全等级保护管理办法》（公通字[2007]43号）、《信息安全技术 网络安全等级保护基本要求GBT22239-2019 》、《信息安全技术 网络安全等级保护测评要求GBT28448-2019》等法规要求进行信息系统安全等级测评。</w:t>
      </w:r>
    </w:p>
    <w:p w14:paraId="7D42A833">
      <w:pPr>
        <w:pStyle w:val="50"/>
        <w:numPr>
          <w:ilvl w:val="0"/>
          <w:numId w:val="5"/>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技术要求部分测评须涉及安全通信网络、安全区域边界、安全计算环境、安全管理中心、安全物理环境五个方面，须通过访谈、配置检查和工具测试的方式测评信息系统的技术安全保障情况。</w:t>
      </w:r>
    </w:p>
    <w:p w14:paraId="013BAFA8">
      <w:pPr>
        <w:adjustRightInd w:val="0"/>
        <w:snapToGrid w:val="0"/>
        <w:ind w:firstLine="480" w:firstLineChars="200"/>
        <w:rPr>
          <w:rFonts w:hint="eastAsia" w:ascii="微软雅黑" w:hAnsi="微软雅黑" w:eastAsia="微软雅黑"/>
        </w:rPr>
      </w:pPr>
      <w:r>
        <w:rPr>
          <w:rFonts w:hint="eastAsia" w:ascii="微软雅黑" w:hAnsi="微软雅黑" w:eastAsia="微软雅黑"/>
        </w:rPr>
        <w:t>a、安全物理环境测评须通过访谈、文档审查和实地察看的方式测评信息系统的物理安全保障情况。主要涉及对象为机房。</w:t>
      </w:r>
    </w:p>
    <w:p w14:paraId="69CE6EB6">
      <w:pPr>
        <w:adjustRightInd w:val="0"/>
        <w:snapToGrid w:val="0"/>
        <w:ind w:firstLine="480" w:firstLineChars="200"/>
        <w:rPr>
          <w:rFonts w:hint="eastAsia" w:ascii="微软雅黑" w:hAnsi="微软雅黑" w:eastAsia="微软雅黑"/>
        </w:rPr>
      </w:pPr>
      <w:r>
        <w:rPr>
          <w:rFonts w:ascii="微软雅黑" w:hAnsi="微软雅黑" w:eastAsia="微软雅黑"/>
        </w:rPr>
        <w:t>b</w:t>
      </w:r>
      <w:r>
        <w:rPr>
          <w:rFonts w:hint="eastAsia" w:ascii="微软雅黑" w:hAnsi="微软雅黑" w:eastAsia="微软雅黑"/>
        </w:rPr>
        <w:t>、安全通信网络测评须通过访谈、配置检查和工具测试的方式测评信息系统的安全通信网络保障情况。</w:t>
      </w:r>
    </w:p>
    <w:p w14:paraId="2F7A1C2E">
      <w:pPr>
        <w:adjustRightInd w:val="0"/>
        <w:snapToGrid w:val="0"/>
        <w:ind w:firstLine="480" w:firstLineChars="200"/>
        <w:rPr>
          <w:rFonts w:hint="eastAsia" w:ascii="微软雅黑" w:hAnsi="微软雅黑" w:eastAsia="微软雅黑"/>
        </w:rPr>
      </w:pPr>
      <w:r>
        <w:rPr>
          <w:rFonts w:hint="eastAsia" w:ascii="微软雅黑" w:hAnsi="微软雅黑" w:eastAsia="微软雅黑"/>
        </w:rPr>
        <w:t>c、安全区域边界测评须通过访谈、配置检查和工具测试的方式测评信息系统的安全区域边界保障情况。</w:t>
      </w:r>
    </w:p>
    <w:p w14:paraId="7A97CA67">
      <w:pPr>
        <w:adjustRightInd w:val="0"/>
        <w:snapToGrid w:val="0"/>
        <w:ind w:firstLine="480" w:firstLineChars="200"/>
        <w:rPr>
          <w:rFonts w:hint="eastAsia" w:ascii="微软雅黑" w:hAnsi="微软雅黑" w:eastAsia="微软雅黑"/>
        </w:rPr>
      </w:pPr>
      <w:r>
        <w:rPr>
          <w:rFonts w:ascii="微软雅黑" w:hAnsi="微软雅黑" w:eastAsia="微软雅黑"/>
        </w:rPr>
        <w:t>d</w:t>
      </w:r>
      <w:r>
        <w:rPr>
          <w:rFonts w:hint="eastAsia" w:ascii="微软雅黑" w:hAnsi="微软雅黑" w:eastAsia="微软雅黑"/>
        </w:rPr>
        <w:t>、安全计算环境须通过访谈、配置检查和工具测试的方式测评信息系统的安全计算环境保障情况。</w:t>
      </w:r>
    </w:p>
    <w:p w14:paraId="2C3CCC60">
      <w:pPr>
        <w:adjustRightInd w:val="0"/>
        <w:snapToGrid w:val="0"/>
        <w:ind w:firstLine="480" w:firstLineChars="200"/>
        <w:rPr>
          <w:rFonts w:hint="eastAsia" w:ascii="微软雅黑" w:hAnsi="微软雅黑" w:eastAsia="微软雅黑"/>
        </w:rPr>
      </w:pPr>
      <w:r>
        <w:rPr>
          <w:rFonts w:hint="eastAsia" w:ascii="微软雅黑" w:hAnsi="微软雅黑" w:eastAsia="微软雅黑"/>
        </w:rPr>
        <w:t>e、安全管理中心测评须通过访谈、配置检查的方式测评信息系统的安全管理中心保障情况。</w:t>
      </w:r>
    </w:p>
    <w:p w14:paraId="33795B90">
      <w:pPr>
        <w:pStyle w:val="50"/>
        <w:numPr>
          <w:ilvl w:val="0"/>
          <w:numId w:val="5"/>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管理要求部分测评须涉及安全管理制度、安全管理机构、安全管理人员、安全建设管理和安全运维管理等五个方面，管理要求方面的测评对象主要为安全主管人员、安全管理人员等。</w:t>
      </w:r>
    </w:p>
    <w:p w14:paraId="51BA713D">
      <w:pPr>
        <w:adjustRightInd w:val="0"/>
        <w:snapToGrid w:val="0"/>
        <w:ind w:firstLine="480" w:firstLineChars="200"/>
        <w:rPr>
          <w:rFonts w:hint="eastAsia" w:ascii="微软雅黑" w:hAnsi="微软雅黑" w:eastAsia="微软雅黑"/>
        </w:rPr>
      </w:pPr>
      <w:r>
        <w:rPr>
          <w:rFonts w:hint="eastAsia" w:ascii="微软雅黑" w:hAnsi="微软雅黑" w:eastAsia="微软雅黑"/>
        </w:rPr>
        <w:t>a、安全管理制度：须针对管理制度、制定和发布、评审和修订等情况进行核查。</w:t>
      </w:r>
    </w:p>
    <w:p w14:paraId="78970766">
      <w:pPr>
        <w:adjustRightInd w:val="0"/>
        <w:snapToGrid w:val="0"/>
        <w:ind w:firstLine="480" w:firstLineChars="200"/>
        <w:rPr>
          <w:rFonts w:hint="eastAsia" w:ascii="微软雅黑" w:hAnsi="微软雅黑" w:eastAsia="微软雅黑"/>
        </w:rPr>
      </w:pPr>
      <w:r>
        <w:rPr>
          <w:rFonts w:ascii="微软雅黑" w:hAnsi="微软雅黑" w:eastAsia="微软雅黑"/>
        </w:rPr>
        <w:t>b</w:t>
      </w:r>
      <w:r>
        <w:rPr>
          <w:rFonts w:hint="eastAsia" w:ascii="微软雅黑" w:hAnsi="微软雅黑" w:eastAsia="微软雅黑"/>
        </w:rPr>
        <w:t>、安全管理机构：须针对岗位设置、人员配备、授权和审批、沟通和协作、审核和检查等情况进行审核。</w:t>
      </w:r>
    </w:p>
    <w:p w14:paraId="5503D6E1">
      <w:pPr>
        <w:adjustRightInd w:val="0"/>
        <w:snapToGrid w:val="0"/>
        <w:ind w:firstLine="480" w:firstLineChars="200"/>
        <w:rPr>
          <w:rFonts w:hint="eastAsia" w:ascii="微软雅黑" w:hAnsi="微软雅黑" w:eastAsia="微软雅黑"/>
        </w:rPr>
      </w:pPr>
      <w:r>
        <w:rPr>
          <w:rFonts w:ascii="微软雅黑" w:hAnsi="微软雅黑" w:eastAsia="微软雅黑"/>
        </w:rPr>
        <w:t>c</w:t>
      </w:r>
      <w:r>
        <w:rPr>
          <w:rFonts w:hint="eastAsia" w:ascii="微软雅黑" w:hAnsi="微软雅黑" w:eastAsia="微软雅黑"/>
        </w:rPr>
        <w:t>、安全人员管理：须针对人员录用、人员离岗、人员考核、安全意识教育和培训、外部人员访问管理等进行核查。</w:t>
      </w:r>
    </w:p>
    <w:p w14:paraId="0F575546">
      <w:pPr>
        <w:adjustRightInd w:val="0"/>
        <w:snapToGrid w:val="0"/>
        <w:ind w:firstLine="480" w:firstLineChars="200"/>
        <w:rPr>
          <w:rFonts w:hint="eastAsia" w:ascii="微软雅黑" w:hAnsi="微软雅黑" w:eastAsia="微软雅黑"/>
        </w:rPr>
      </w:pPr>
      <w:r>
        <w:rPr>
          <w:rFonts w:ascii="微软雅黑" w:hAnsi="微软雅黑" w:eastAsia="微软雅黑"/>
        </w:rPr>
        <w:t>d</w:t>
      </w:r>
      <w:r>
        <w:rPr>
          <w:rFonts w:hint="eastAsia" w:ascii="微软雅黑" w:hAnsi="微软雅黑" w:eastAsia="微软雅黑"/>
        </w:rPr>
        <w:t>、安全建设管理：须针对系统建设的全过程，系统定级、安全方案设计、产品采购和使用、自行软件开发、外包软件开发等进行核查。</w:t>
      </w:r>
    </w:p>
    <w:p w14:paraId="246F289C">
      <w:pPr>
        <w:adjustRightInd w:val="0"/>
        <w:snapToGrid w:val="0"/>
        <w:ind w:firstLine="480" w:firstLineChars="200"/>
        <w:rPr>
          <w:rFonts w:hint="eastAsia" w:ascii="微软雅黑" w:hAnsi="微软雅黑" w:eastAsia="微软雅黑"/>
        </w:rPr>
      </w:pPr>
      <w:r>
        <w:rPr>
          <w:rFonts w:ascii="微软雅黑" w:hAnsi="微软雅黑" w:eastAsia="微软雅黑"/>
        </w:rPr>
        <w:t>e</w:t>
      </w:r>
      <w:r>
        <w:rPr>
          <w:rFonts w:hint="eastAsia" w:ascii="微软雅黑" w:hAnsi="微软雅黑" w:eastAsia="微软雅黑"/>
        </w:rPr>
        <w:t>、安全运维管理：须针对资产管理、介质管理、设备管理、监控管理、系统安全管理、恶意代码防范管理、密码管理、变更管理、备份与恢复管理、安全事件处置、应急预案管理进行核查。</w:t>
      </w:r>
    </w:p>
    <w:p w14:paraId="5775BBC4">
      <w:pPr>
        <w:pStyle w:val="50"/>
        <w:numPr>
          <w:ilvl w:val="0"/>
          <w:numId w:val="5"/>
        </w:numPr>
        <w:adjustRightInd w:val="0"/>
        <w:snapToGrid w:val="0"/>
        <w:spacing w:line="360" w:lineRule="auto"/>
        <w:ind w:left="0" w:firstLine="480"/>
        <w:rPr>
          <w:rFonts w:hint="eastAsia" w:ascii="微软雅黑" w:hAnsi="微软雅黑" w:eastAsia="微软雅黑"/>
          <w:sz w:val="24"/>
          <w:szCs w:val="24"/>
        </w:rPr>
      </w:pPr>
      <w:r>
        <w:rPr>
          <w:rFonts w:hint="eastAsia" w:ascii="微软雅黑" w:hAnsi="微软雅黑" w:eastAsia="微软雅黑"/>
          <w:sz w:val="24"/>
          <w:szCs w:val="24"/>
        </w:rPr>
        <w:t>服务要求</w:t>
      </w:r>
    </w:p>
    <w:p w14:paraId="5AB138E6">
      <w:pPr>
        <w:pStyle w:val="50"/>
        <w:adjustRightInd w:val="0"/>
        <w:snapToGrid w:val="0"/>
        <w:spacing w:line="360" w:lineRule="auto"/>
        <w:ind w:firstLine="480"/>
        <w:rPr>
          <w:rFonts w:hint="eastAsia" w:ascii="微软雅黑" w:hAnsi="微软雅黑" w:eastAsia="微软雅黑"/>
          <w:b/>
          <w:bCs/>
          <w:sz w:val="24"/>
          <w:szCs w:val="24"/>
        </w:rPr>
      </w:pPr>
      <w:r>
        <w:rPr>
          <w:rFonts w:hint="eastAsia" w:ascii="微软雅黑" w:hAnsi="微软雅黑" w:eastAsia="微软雅黑"/>
          <w:b/>
          <w:bCs/>
          <w:sz w:val="24"/>
          <w:szCs w:val="24"/>
        </w:rPr>
        <w:t>投标人须配合辅助业主单位完成该信息系统等级保护安全测评，即获取正式等级保护测评报告，测评结论为“中”及以上。。</w:t>
      </w:r>
    </w:p>
    <w:p w14:paraId="5BE0C291">
      <w:pPr>
        <w:pStyle w:val="5"/>
      </w:pPr>
      <w:r>
        <w:rPr>
          <w:rFonts w:hint="eastAsia"/>
        </w:rPr>
        <w:t>网络安全等级保护测评工作态势总览服务</w:t>
      </w:r>
    </w:p>
    <w:p w14:paraId="5638CBB7">
      <w:r>
        <w:rPr>
          <w:rFonts w:hint="eastAsia"/>
        </w:rPr>
        <w:t>针对网络安全工作要求，应结合此次网络安全等级保护测评工作情况，提供网络安全等级保护测评工作态势总览服务，在本校建立网络安全等级保护监测管理平台，为我校开展网络安全等级保护测评工作提供综合性方向和策略指导。全局把控各系统的网络安全等级保护工作的开展情况，全局落实各系统定级备案、建设整改、等级测评及日常安全监督检查工作情况。实时掌握系统初次测评及复测评的开展进度。通过对网络安全等级保护测评数据的分析，从基础测评数据角度分析，全面了解系统总体安全状况，深度挖掘网络安全共性问题，推动我校的网络安全建设工作。</w:t>
      </w:r>
    </w:p>
    <w:p w14:paraId="7A2DA2BD">
      <w:pPr>
        <w:rPr>
          <w:rFonts w:ascii="Arial" w:hAnsi="Arial" w:eastAsia="宋体" w:cs="Times New Roman"/>
          <w:kern w:val="0"/>
          <w:szCs w:val="21"/>
          <w:shd w:val="clear" w:color="auto" w:fill="FFFFFF"/>
        </w:rPr>
      </w:pPr>
      <w:r>
        <w:rPr>
          <w:rFonts w:hint="eastAsia"/>
        </w:rPr>
        <w:t>网络安全等级保护监测管理平台须结合GB/T 22239-2019《信息安全技术 网络安全等级保护基本要求》、GB/T 25058-2019《信息安全技术网络安全等级保护实施指南》进行建设，该平台需具备项目进度管理、系统风险管理及各单位制度管理等能力，实现全局合规可视：能够展示当前的合规风险、系统合规建设的状态，并实时提醒合规动态。具备自动化提炼管理关键词的功能，助于进行合规决策管理，确保相关人员能够及时、准确地掌握合规业务的状态；安全合规自检：针对漏洞进行细致的管理。支持向主流的漏洞扫描工具发送扫描任务，并将扫描结果统一导入平台中进行跟踪管理。平台能够根据漏洞处理情况进行闭环跟踪，以确保合规风险得到高效控制；合规知识管理：提供合规知识管理，让安全制度管理更具备实操性；法律法规库，提供专业合规知识检索，明确编制的管理制度，所依据的法律法规适用条款，提高合规管理工作的规范性；检查指标库，支持对安全制度执行情况进行管理自查，默认自查项总计超200项，提升合规管理更具可操作性；教育培训管理：建立健全的网络安全意识培养机制，强化教育课件和培训管理流程，全面提升我校合规文化。系统地整理和积累各类培训资料，包括安全意识培训资料、宣传视频、手册、宣传海报以及法律法规等，提供专业且全面的安全培训和学习资源；安全效率优化：优化安全合规各项检查工具，提供等保自检，钓鱼演练，口令猜测，漏洞管理和整改跟踪全周期闭环管理，辅助我校自主测评，提升测评效率和通过率，同时对发现的风险，测评问题进行记录，整改跟踪和闭环，让安全合规可持续；信息系统管理：</w:t>
      </w:r>
      <w:r>
        <w:rPr>
          <w:rFonts w:hint="eastAsia" w:ascii="Arial" w:hAnsi="Arial" w:eastAsia="宋体" w:cs="Times New Roman"/>
          <w:kern w:val="0"/>
          <w:szCs w:val="21"/>
          <w:shd w:val="clear" w:color="auto" w:fill="FFFFFF"/>
        </w:rPr>
        <w:t>综合呈现当前信息系统等级保护建设状况，包含所有信息系统等保级别分布数据汇总、资产相关漏洞和风险等级，定级备案及等保测评完成状况等信息，全面展示我校的信息系统合规状况。</w:t>
      </w:r>
    </w:p>
    <w:p w14:paraId="3DF45759">
      <w:pPr>
        <w:rPr>
          <w:rFonts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平台具体有要求如下：</w:t>
      </w:r>
    </w:p>
    <w:p w14:paraId="6C8F9926">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通过该平台可呈现各个单位的相关数据，主要包含整体概况、测评动态、信息系统数量、安全通告、资产总数、制度总数、信息系统的基本信息、漏洞级别统计、资产类型、测评分数、资产高危漏洞统计、安全问题等数据。</w:t>
      </w:r>
    </w:p>
    <w:p w14:paraId="5BF347C1">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通过该平台可呈现当前用户相关的数据统计，主要包含等保分数排行、系统承载业务分布、信息系统数量统计、管理动作均值分析、管理动作统计，可展示近三年内下辖单位的数据统计情况。</w:t>
      </w:r>
    </w:p>
    <w:p w14:paraId="1F14A82F">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通过该平台可呈现当前系统测评相关的数据统计，主要包含各信息系统的基本信息、漏洞级别统计、资产类型、测评分数、资产高危漏洞统计、安全问题数据的统计。</w:t>
      </w:r>
    </w:p>
    <w:p w14:paraId="7684CA38">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平台支持展示政策法规、管理规范、记录表单、操作规程和清单协议等五大类文件类型。列表内展示文档类型、文档名称、版本号、状态（待生效、有效、已废止）、制定依据、二级标签、所属单位和操作栏。 操作栏可以自定义列。支持制度图谱和等保自查功能。</w:t>
      </w:r>
    </w:p>
    <w:p w14:paraId="5F4EBA8E">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平台能提高合规管理便捷性，自动按区域，按行业关联标签。</w:t>
      </w:r>
    </w:p>
    <w:p w14:paraId="6A57CF4C">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平台支持展示文档类型、文档名称、标签集、标签类、标签、操作栏。支持对单位基本信息、信息系统基本信息收集，对已经完成编写的材料和审批意见等文件支持一键导出。支持预览和下载制度模板，支持自动生成功能，可以自动替换掉台账文件中关于网络安全领导小组、单位名称等内容，可以直接添加到选中单位的制度台账，也可以下载至本地。</w:t>
      </w:r>
    </w:p>
    <w:p w14:paraId="45B87E29">
      <w:pPr>
        <w:pStyle w:val="37"/>
        <w:numPr>
          <w:ilvl w:val="0"/>
          <w:numId w:val="6"/>
        </w:numPr>
        <w:ind w:firstLineChars="0"/>
        <w:rPr>
          <w:rFonts w:hint="eastAsia" w:ascii="Arial" w:hAnsi="Arial" w:eastAsia="宋体" w:cs="Times New Roman"/>
          <w:kern w:val="0"/>
          <w:szCs w:val="21"/>
          <w:shd w:val="clear" w:color="auto" w:fill="FFFFFF"/>
        </w:rPr>
      </w:pPr>
      <w:r>
        <w:rPr>
          <w:rFonts w:hint="eastAsia" w:ascii="Arial" w:hAnsi="Arial" w:eastAsia="宋体" w:cs="Times New Roman"/>
          <w:kern w:val="0"/>
          <w:szCs w:val="21"/>
          <w:shd w:val="clear" w:color="auto" w:fill="FFFFFF"/>
        </w:rPr>
        <w:t>平台支持钓鱼演练，显示钓鱼演练、累计发信、邮件打开、链接点击、数据提交的数量统计和展示钓鱼演练任务。支持对邮件服务、邮件模板和钓鱼演练任务进行新建、编辑和删除。对演练中出现的问题进行针对性培训，提升内部人员安全意识。</w:t>
      </w:r>
    </w:p>
    <w:p w14:paraId="12DB1E77">
      <w:pPr>
        <w:pStyle w:val="37"/>
        <w:numPr>
          <w:ilvl w:val="0"/>
          <w:numId w:val="6"/>
        </w:numPr>
        <w:ind w:firstLineChars="0"/>
        <w:rPr>
          <w:rFonts w:hint="eastAsia" w:ascii="Consolas" w:hAnsi="Consolas" w:eastAsia="仿宋" w:cs="Consolas"/>
          <w:color w:val="0D0D0D" w:themeColor="text1" w:themeTint="F2"/>
          <w:spacing w:val="4"/>
          <w:szCs w:val="21"/>
          <w14:textFill>
            <w14:solidFill>
              <w14:schemeClr w14:val="tx1">
                <w14:lumMod w14:val="95000"/>
                <w14:lumOff w14:val="5000"/>
              </w14:schemeClr>
            </w14:solidFill>
          </w14:textFill>
        </w:rPr>
      </w:pPr>
      <w:r>
        <w:rPr>
          <w:rFonts w:hint="eastAsia" w:ascii="Arial" w:hAnsi="Arial" w:eastAsia="宋体" w:cs="Times New Roman"/>
          <w:kern w:val="0"/>
          <w:szCs w:val="21"/>
          <w:shd w:val="clear" w:color="auto" w:fill="FFFFFF"/>
        </w:rPr>
        <w:t>平台支持漏洞处置列表展示。列表处展示漏洞名称、所属单位、风险级别、IP、端口、是否修复、操作。可通过漏洞名称、IP、风险级别、修复状态进行精准或模糊查询。可对漏洞进行批量处置，也可以在统计页面查看各单位下漏洞数量情况。</w:t>
      </w:r>
    </w:p>
    <w:p w14:paraId="58952DE9">
      <w:pPr>
        <w:pStyle w:val="3"/>
        <w:rPr>
          <w:rFonts w:hint="eastAsia"/>
        </w:rPr>
      </w:pPr>
      <w:bookmarkStart w:id="11" w:name="_Toc297847556"/>
      <w:bookmarkStart w:id="12" w:name="_Toc179986458"/>
      <w:r>
        <w:rPr>
          <w:rFonts w:hint="eastAsia"/>
        </w:rPr>
        <w:t>网络安全运营服务</w:t>
      </w:r>
      <w:bookmarkEnd w:id="11"/>
      <w:bookmarkEnd w:id="12"/>
    </w:p>
    <w:p w14:paraId="6E0F196F">
      <w:pPr>
        <w:pStyle w:val="4"/>
        <w:rPr>
          <w:rFonts w:hint="eastAsia"/>
        </w:rPr>
      </w:pPr>
      <w:bookmarkStart w:id="13" w:name="_Toc139492535"/>
      <w:bookmarkStart w:id="14" w:name="_Toc114580397"/>
      <w:bookmarkStart w:id="15" w:name="_Toc98511784"/>
      <w:bookmarkStart w:id="16" w:name="_Toc97216086"/>
      <w:bookmarkStart w:id="17" w:name="_Toc547551593"/>
      <w:bookmarkStart w:id="18" w:name="_Toc278267901"/>
      <w:bookmarkStart w:id="19" w:name="_Toc448354981"/>
      <w:bookmarkStart w:id="20" w:name="_Toc2125304933"/>
      <w:bookmarkStart w:id="21" w:name="_Toc287403217"/>
      <w:bookmarkStart w:id="22" w:name="_Toc134708807"/>
      <w:bookmarkStart w:id="23" w:name="_Toc1008051232"/>
      <w:bookmarkStart w:id="24" w:name="_Toc35605547"/>
      <w:bookmarkStart w:id="25" w:name="_Toc1486089126"/>
      <w:bookmarkStart w:id="26" w:name="_Toc134708809"/>
      <w:bookmarkStart w:id="27" w:name="_Toc104509859"/>
      <w:bookmarkStart w:id="28" w:name="_Toc717216407"/>
      <w:bookmarkStart w:id="29" w:name="_Toc134708816"/>
      <w:r>
        <w:rPr>
          <w:rFonts w:hint="eastAsia"/>
        </w:rPr>
        <w:t>安全事件监测与处置</w:t>
      </w:r>
      <w:bookmarkEnd w:id="13"/>
      <w:bookmarkEnd w:id="14"/>
      <w:bookmarkEnd w:id="15"/>
    </w:p>
    <w:bookmarkEnd w:id="16"/>
    <w:p w14:paraId="544FB6B4">
      <w:pPr>
        <w:pStyle w:val="5"/>
        <w:rPr>
          <w:rFonts w:hint="eastAsia"/>
        </w:rPr>
      </w:pPr>
      <w:bookmarkStart w:id="30" w:name="_Toc97216087"/>
      <w:bookmarkStart w:id="31" w:name="_Toc114580398"/>
      <w:bookmarkStart w:id="32" w:name="_Toc98511786"/>
      <w:r>
        <w:rPr>
          <w:rFonts w:hint="eastAsia"/>
        </w:rPr>
        <w:t>主机威胁监测</w:t>
      </w:r>
      <w:bookmarkEnd w:id="30"/>
      <w:bookmarkEnd w:id="31"/>
      <w:bookmarkEnd w:id="32"/>
    </w:p>
    <w:p w14:paraId="1120E924">
      <w:pPr>
        <w:pStyle w:val="31"/>
        <w:spacing w:line="360" w:lineRule="auto"/>
        <w:ind w:firstLine="480"/>
        <w:rPr>
          <w:rFonts w:hint="eastAsia" w:ascii="宋体" w:hAnsi="宋体"/>
          <w:sz w:val="24"/>
          <w:szCs w:val="24"/>
        </w:rPr>
      </w:pPr>
      <w:r>
        <w:rPr>
          <w:rFonts w:hint="eastAsia" w:ascii="宋体" w:hAnsi="宋体"/>
          <w:sz w:val="24"/>
          <w:szCs w:val="24"/>
        </w:rPr>
        <w:t>通过在业务系统上安装服务器安全监控软件，可主动监测</w:t>
      </w:r>
      <w:r>
        <w:rPr>
          <w:rFonts w:hint="eastAsia" w:ascii="宋体" w:hAnsi="宋体"/>
          <w:b/>
          <w:bCs/>
          <w:sz w:val="24"/>
          <w:szCs w:val="24"/>
        </w:rPr>
        <w:t>恶意文件（webshell、病毒木马）、恶意进程、异常行为</w:t>
      </w:r>
      <w:r>
        <w:rPr>
          <w:rFonts w:hint="eastAsia" w:ascii="宋体" w:hAnsi="宋体"/>
          <w:sz w:val="24"/>
          <w:szCs w:val="24"/>
        </w:rPr>
        <w:t>等，发现可疑的入侵事件，并实时将告警同步到资产安全运维平台服务平台。</w:t>
      </w:r>
    </w:p>
    <w:p w14:paraId="369CC413">
      <w:pPr>
        <w:pStyle w:val="5"/>
        <w:rPr>
          <w:rFonts w:hint="eastAsia"/>
        </w:rPr>
      </w:pPr>
      <w:bookmarkStart w:id="33" w:name="_Toc114580399"/>
      <w:bookmarkStart w:id="34" w:name="_Toc98511787"/>
      <w:bookmarkStart w:id="35" w:name="_Toc97216088"/>
      <w:r>
        <w:rPr>
          <w:rFonts w:hint="eastAsia"/>
        </w:rPr>
        <w:t>流量监测服务</w:t>
      </w:r>
    </w:p>
    <w:p w14:paraId="371AD702">
      <w:r>
        <w:rPr>
          <w:rFonts w:hint="eastAsia"/>
        </w:rPr>
        <w:t>在核心网络区域部署流量监测探针，对网络流量进行实时采集分析，发现网络中存在的</w:t>
      </w:r>
      <w:r>
        <w:t xml:space="preserve"> DoS/DDoS</w:t>
      </w:r>
      <w:r>
        <w:rPr>
          <w:rFonts w:hint="eastAsia"/>
        </w:rPr>
        <w:t>攻击、扫描等异常行为、会话连接异常行为、反序列化攻击行为、远程命令执行行为、尝试提权成功行为、</w:t>
      </w:r>
      <w:r>
        <w:t xml:space="preserve">Struts2 </w:t>
      </w:r>
      <w:r>
        <w:rPr>
          <w:rFonts w:hint="eastAsia"/>
        </w:rPr>
        <w:t>攻击成功事件行为等。</w:t>
      </w:r>
    </w:p>
    <w:p w14:paraId="1BB733DB">
      <w:pPr>
        <w:pStyle w:val="5"/>
        <w:rPr>
          <w:rFonts w:hint="eastAsia"/>
        </w:rPr>
      </w:pPr>
      <w:r>
        <w:rPr>
          <w:rFonts w:hint="eastAsia"/>
        </w:rPr>
        <w:t>安全设备日志分析</w:t>
      </w:r>
    </w:p>
    <w:p w14:paraId="5E4D2103">
      <w:r>
        <w:rPr>
          <w:rFonts w:hint="eastAsia"/>
        </w:rPr>
        <w:t>日志分析主要是定期为福建中医药大学信息系统内安全设备产生的海量日志进行深度挖掘和分析，从</w:t>
      </w:r>
      <w:r>
        <w:t>IP分布、时间分布、事件分布，行为分布、告警趋势这五个维度对用户信息系统内安全设备产生的日志进行梳理，发现潜在的风险点，得出安全现状结论，并提供极具参考价值的分析报告。通过提供</w:t>
      </w:r>
      <w:r>
        <w:rPr>
          <w:rFonts w:hint="eastAsia"/>
        </w:rPr>
        <w:t>安全设备日志分析报告，及时掌握网络运行状态和安全隐患。</w:t>
      </w:r>
    </w:p>
    <w:p w14:paraId="4FF862BB">
      <w:pPr>
        <w:pStyle w:val="5"/>
        <w:rPr>
          <w:rFonts w:hint="eastAsia"/>
        </w:rPr>
      </w:pPr>
      <w:r>
        <w:rPr>
          <w:rFonts w:hint="eastAsia"/>
        </w:rPr>
        <w:t>日常安全事件处置</w:t>
      </w:r>
      <w:bookmarkEnd w:id="33"/>
      <w:bookmarkEnd w:id="34"/>
      <w:bookmarkEnd w:id="35"/>
    </w:p>
    <w:p w14:paraId="06F07654">
      <w:pPr>
        <w:pStyle w:val="32"/>
        <w:spacing w:line="360" w:lineRule="auto"/>
        <w:ind w:firstLine="480" w:firstLineChars="200"/>
        <w:rPr>
          <w:rFonts w:hint="eastAsia" w:ascii="宋体" w:hAnsi="宋体"/>
          <w:sz w:val="24"/>
          <w:szCs w:val="24"/>
        </w:rPr>
      </w:pPr>
      <w:r>
        <w:rPr>
          <w:rFonts w:hint="eastAsia" w:ascii="宋体" w:hAnsi="宋体"/>
          <w:sz w:val="24"/>
          <w:szCs w:val="24"/>
        </w:rPr>
        <w:t>针对攻击诱捕、主机威胁检测监测、流量检测等分析研判结果，提供响应的处置办法：</w:t>
      </w:r>
    </w:p>
    <w:p w14:paraId="51F8388D">
      <w:pPr>
        <w:pStyle w:val="35"/>
        <w:numPr>
          <w:ilvl w:val="1"/>
          <w:numId w:val="2"/>
        </w:numPr>
        <w:spacing w:line="360" w:lineRule="auto"/>
        <w:rPr>
          <w:rFonts w:hint="eastAsia" w:ascii="宋体" w:hAnsi="宋体"/>
          <w:sz w:val="24"/>
          <w:szCs w:val="24"/>
        </w:rPr>
      </w:pPr>
      <w:r>
        <w:rPr>
          <w:rFonts w:hint="eastAsia" w:ascii="宋体" w:hAnsi="宋体"/>
          <w:sz w:val="24"/>
          <w:szCs w:val="24"/>
        </w:rPr>
        <w:t>关停不必要开放的资产、端口、协议</w:t>
      </w:r>
    </w:p>
    <w:p w14:paraId="3A9E505D">
      <w:pPr>
        <w:pStyle w:val="35"/>
        <w:numPr>
          <w:ilvl w:val="1"/>
          <w:numId w:val="2"/>
        </w:numPr>
        <w:spacing w:line="360" w:lineRule="auto"/>
        <w:rPr>
          <w:rFonts w:hint="eastAsia" w:ascii="宋体" w:hAnsi="宋体"/>
          <w:sz w:val="24"/>
          <w:szCs w:val="24"/>
        </w:rPr>
      </w:pPr>
      <w:r>
        <w:rPr>
          <w:rFonts w:hint="eastAsia" w:ascii="宋体" w:hAnsi="宋体"/>
          <w:sz w:val="24"/>
          <w:szCs w:val="24"/>
        </w:rPr>
        <w:t>提供一键微隔离处置，使失陷主机暂时下线，防止进一步感染其他主机或网络</w:t>
      </w:r>
    </w:p>
    <w:p w14:paraId="667DE323">
      <w:pPr>
        <w:pStyle w:val="35"/>
        <w:numPr>
          <w:ilvl w:val="1"/>
          <w:numId w:val="2"/>
        </w:numPr>
        <w:spacing w:line="360" w:lineRule="auto"/>
        <w:rPr>
          <w:rFonts w:hint="eastAsia" w:ascii="宋体" w:hAnsi="宋体"/>
          <w:sz w:val="24"/>
          <w:szCs w:val="24"/>
        </w:rPr>
      </w:pPr>
      <w:r>
        <w:rPr>
          <w:rFonts w:hint="eastAsia" w:ascii="宋体" w:hAnsi="宋体"/>
          <w:sz w:val="24"/>
          <w:szCs w:val="24"/>
        </w:rPr>
        <w:t>提供失陷主机病毒、木马查杀工具</w:t>
      </w:r>
    </w:p>
    <w:p w14:paraId="067FB060">
      <w:pPr>
        <w:pStyle w:val="35"/>
        <w:numPr>
          <w:ilvl w:val="1"/>
          <w:numId w:val="2"/>
        </w:numPr>
        <w:spacing w:line="360" w:lineRule="auto"/>
        <w:rPr>
          <w:rFonts w:hint="eastAsia" w:ascii="宋体" w:hAnsi="宋体"/>
          <w:sz w:val="24"/>
          <w:szCs w:val="24"/>
        </w:rPr>
      </w:pPr>
      <w:r>
        <w:rPr>
          <w:rFonts w:hint="eastAsia" w:ascii="宋体" w:hAnsi="宋体"/>
          <w:sz w:val="24"/>
          <w:szCs w:val="24"/>
        </w:rPr>
        <w:t>提供被入侵网站的webshell网马查杀工具，并建议调整waf策略</w:t>
      </w:r>
    </w:p>
    <w:p w14:paraId="6B9E139C">
      <w:pPr>
        <w:pStyle w:val="35"/>
        <w:numPr>
          <w:ilvl w:val="1"/>
          <w:numId w:val="2"/>
        </w:numPr>
        <w:spacing w:line="360" w:lineRule="auto"/>
        <w:rPr>
          <w:rFonts w:hint="eastAsia" w:ascii="宋体" w:hAnsi="宋体"/>
          <w:sz w:val="24"/>
          <w:szCs w:val="24"/>
        </w:rPr>
      </w:pPr>
      <w:r>
        <w:rPr>
          <w:rFonts w:hint="eastAsia" w:ascii="宋体" w:hAnsi="宋体"/>
          <w:sz w:val="24"/>
          <w:szCs w:val="24"/>
        </w:rPr>
        <w:t>针对高频攻击目标进行溯源分析，甄别是否封堵</w:t>
      </w:r>
    </w:p>
    <w:p w14:paraId="2A63457A">
      <w:pPr>
        <w:pStyle w:val="5"/>
        <w:rPr>
          <w:rFonts w:hint="eastAsia"/>
        </w:rPr>
      </w:pPr>
      <w:bookmarkStart w:id="36" w:name="_Toc114580400"/>
      <w:bookmarkStart w:id="37" w:name="_Toc97216089"/>
      <w:bookmarkStart w:id="38" w:name="_Toc98511788"/>
      <w:r>
        <w:rPr>
          <w:rFonts w:hint="eastAsia"/>
        </w:rPr>
        <w:t>应急响应</w:t>
      </w:r>
      <w:bookmarkEnd w:id="36"/>
      <w:bookmarkEnd w:id="37"/>
      <w:bookmarkEnd w:id="38"/>
    </w:p>
    <w:p w14:paraId="3D6D3243">
      <w:pPr>
        <w:pStyle w:val="32"/>
        <w:spacing w:line="360" w:lineRule="auto"/>
        <w:ind w:firstLine="480" w:firstLineChars="200"/>
        <w:rPr>
          <w:rFonts w:hint="eastAsia" w:ascii="宋体" w:hAnsi="宋体"/>
          <w:sz w:val="24"/>
          <w:szCs w:val="24"/>
        </w:rPr>
      </w:pPr>
      <w:r>
        <w:rPr>
          <w:rFonts w:hint="eastAsia" w:ascii="宋体" w:hAnsi="宋体"/>
          <w:sz w:val="24"/>
          <w:szCs w:val="24"/>
        </w:rPr>
        <w:t>提供7*24小时全天候、2小时到达现场，每次提供相应的响应报告，找出根源并提供可行解决方案。</w:t>
      </w:r>
    </w:p>
    <w:p w14:paraId="212DFF1F">
      <w:pPr>
        <w:pStyle w:val="4"/>
        <w:rPr>
          <w:rFonts w:hint="eastAsia"/>
        </w:rPr>
      </w:pPr>
      <w:bookmarkStart w:id="39" w:name="_Toc114580401"/>
      <w:bookmarkStart w:id="40" w:name="_Toc97216090"/>
      <w:bookmarkStart w:id="41" w:name="_Toc1546376868"/>
      <w:bookmarkStart w:id="42" w:name="_Toc98511789"/>
      <w:r>
        <w:rPr>
          <w:rFonts w:hint="eastAsia"/>
        </w:rPr>
        <w:t>外网暴露面管理</w:t>
      </w:r>
      <w:bookmarkEnd w:id="39"/>
      <w:bookmarkEnd w:id="40"/>
      <w:bookmarkEnd w:id="41"/>
      <w:bookmarkEnd w:id="42"/>
    </w:p>
    <w:p w14:paraId="7CA10660">
      <w:pPr>
        <w:pStyle w:val="32"/>
        <w:spacing w:line="360" w:lineRule="auto"/>
        <w:ind w:firstLine="484" w:firstLineChars="202"/>
        <w:rPr>
          <w:rFonts w:hint="eastAsia" w:ascii="宋体" w:hAnsi="宋体"/>
          <w:sz w:val="24"/>
          <w:szCs w:val="24"/>
        </w:rPr>
      </w:pPr>
      <w:r>
        <w:rPr>
          <w:rFonts w:hint="eastAsia" w:ascii="宋体" w:hAnsi="宋体"/>
          <w:sz w:val="24"/>
          <w:szCs w:val="24"/>
        </w:rPr>
        <w:t>服务包括：</w:t>
      </w:r>
    </w:p>
    <w:p w14:paraId="487E80F8">
      <w:pPr>
        <w:pStyle w:val="32"/>
        <w:spacing w:line="360" w:lineRule="auto"/>
        <w:ind w:firstLine="484" w:firstLineChars="202"/>
        <w:rPr>
          <w:rFonts w:hint="eastAsia" w:ascii="宋体" w:hAnsi="宋体"/>
          <w:sz w:val="24"/>
          <w:szCs w:val="24"/>
        </w:rPr>
      </w:pPr>
      <w:r>
        <w:rPr>
          <w:rFonts w:hint="eastAsia" w:ascii="宋体" w:hAnsi="宋体"/>
          <w:sz w:val="24"/>
          <w:szCs w:val="24"/>
        </w:rPr>
        <w:t>●互联网资产详情，从基本信息到应用组件、应用指纹等</w:t>
      </w:r>
    </w:p>
    <w:p w14:paraId="382679BE">
      <w:pPr>
        <w:pStyle w:val="32"/>
        <w:spacing w:line="360" w:lineRule="auto"/>
        <w:ind w:firstLine="484" w:firstLineChars="202"/>
        <w:rPr>
          <w:rFonts w:hint="eastAsia" w:ascii="宋体" w:hAnsi="宋体"/>
          <w:sz w:val="24"/>
          <w:szCs w:val="24"/>
        </w:rPr>
      </w:pPr>
      <w:r>
        <w:rPr>
          <w:rFonts w:hint="eastAsia" w:ascii="宋体" w:hAnsi="宋体"/>
          <w:sz w:val="24"/>
          <w:szCs w:val="24"/>
        </w:rPr>
        <w:t>●互联网资产梳理，端口服务登记，从外部到内部的资产状况，信息关联等</w:t>
      </w:r>
    </w:p>
    <w:p w14:paraId="37194B16">
      <w:pPr>
        <w:pStyle w:val="32"/>
        <w:spacing w:line="360" w:lineRule="auto"/>
        <w:ind w:firstLine="484" w:firstLineChars="202"/>
        <w:rPr>
          <w:rFonts w:hint="eastAsia" w:ascii="宋体" w:hAnsi="宋体"/>
          <w:sz w:val="24"/>
          <w:szCs w:val="24"/>
        </w:rPr>
      </w:pPr>
      <w:r>
        <w:rPr>
          <w:rFonts w:hint="eastAsia" w:ascii="宋体" w:hAnsi="宋体"/>
          <w:sz w:val="24"/>
          <w:szCs w:val="24"/>
        </w:rPr>
        <w:t>●风险暴露面排查，远程访问端口、VPN入口、后台入口、验证码等</w:t>
      </w:r>
    </w:p>
    <w:p w14:paraId="60625565">
      <w:pPr>
        <w:pStyle w:val="32"/>
        <w:spacing w:line="360" w:lineRule="auto"/>
        <w:ind w:firstLine="484" w:firstLineChars="202"/>
        <w:rPr>
          <w:rFonts w:hint="eastAsia" w:ascii="宋体" w:hAnsi="宋体"/>
          <w:sz w:val="24"/>
          <w:szCs w:val="24"/>
        </w:rPr>
      </w:pPr>
      <w:r>
        <w:rPr>
          <w:rFonts w:hint="eastAsia" w:ascii="宋体" w:hAnsi="宋体"/>
          <w:sz w:val="24"/>
          <w:szCs w:val="24"/>
        </w:rPr>
        <w:t>●未知资产排查，那些被忽略的域名、IP、应用、App、信息通道等</w:t>
      </w:r>
    </w:p>
    <w:p w14:paraId="3772EBB1">
      <w:pPr>
        <w:pStyle w:val="32"/>
        <w:spacing w:line="360" w:lineRule="auto"/>
        <w:ind w:firstLine="484" w:firstLineChars="202"/>
        <w:rPr>
          <w:rFonts w:hint="eastAsia" w:ascii="宋体" w:hAnsi="宋体"/>
          <w:sz w:val="24"/>
          <w:szCs w:val="24"/>
        </w:rPr>
      </w:pPr>
      <w:r>
        <w:rPr>
          <w:rFonts w:hint="eastAsia" w:ascii="宋体" w:hAnsi="宋体"/>
          <w:sz w:val="24"/>
          <w:szCs w:val="24"/>
        </w:rPr>
        <w:t>●生成资产台账，收敛暴露面，定期更新和审核。</w:t>
      </w:r>
    </w:p>
    <w:p w14:paraId="4EC8C3A3">
      <w:pPr>
        <w:pStyle w:val="4"/>
        <w:rPr>
          <w:rFonts w:hint="eastAsia"/>
        </w:rPr>
      </w:pPr>
      <w:bookmarkStart w:id="43" w:name="_Toc98511793"/>
      <w:bookmarkStart w:id="44" w:name="_Toc114580404"/>
      <w:bookmarkStart w:id="45" w:name="_Toc97216094"/>
      <w:bookmarkStart w:id="46" w:name="_Toc1108924482"/>
      <w:r>
        <w:rPr>
          <w:rFonts w:hint="eastAsia"/>
        </w:rPr>
        <w:t>资产管理</w:t>
      </w:r>
      <w:bookmarkEnd w:id="43"/>
      <w:bookmarkEnd w:id="44"/>
      <w:bookmarkEnd w:id="45"/>
      <w:bookmarkEnd w:id="46"/>
    </w:p>
    <w:p w14:paraId="070611FF">
      <w:pPr>
        <w:rPr>
          <w:b/>
          <w:bCs/>
        </w:rPr>
      </w:pPr>
      <w:r>
        <w:rPr>
          <w:rFonts w:hint="eastAsia"/>
          <w:b/>
          <w:bCs/>
        </w:rPr>
        <w:t>服务包括：</w:t>
      </w:r>
    </w:p>
    <w:p w14:paraId="0EED0595">
      <w:pPr>
        <w:pStyle w:val="5"/>
        <w:rPr>
          <w:rFonts w:hint="eastAsia"/>
        </w:rPr>
      </w:pPr>
      <w:bookmarkStart w:id="47" w:name="_Toc114580405"/>
      <w:bookmarkStart w:id="48" w:name="_Toc98511794"/>
      <w:bookmarkStart w:id="49" w:name="_Toc97216095"/>
      <w:r>
        <w:rPr>
          <w:rFonts w:hint="eastAsia"/>
        </w:rPr>
        <w:t>主机资产测绘</w:t>
      </w:r>
      <w:bookmarkEnd w:id="47"/>
      <w:bookmarkEnd w:id="48"/>
      <w:bookmarkEnd w:id="49"/>
    </w:p>
    <w:p w14:paraId="35FBE378">
      <w:pPr>
        <w:pStyle w:val="31"/>
        <w:spacing w:line="360" w:lineRule="auto"/>
        <w:ind w:firstLine="480"/>
        <w:rPr>
          <w:rFonts w:hint="eastAsia" w:ascii="宋体" w:hAnsi="宋体"/>
          <w:sz w:val="24"/>
          <w:szCs w:val="24"/>
        </w:rPr>
      </w:pPr>
      <w:r>
        <w:rPr>
          <w:rFonts w:hint="eastAsia" w:ascii="宋体" w:hAnsi="宋体"/>
          <w:sz w:val="24"/>
          <w:szCs w:val="24"/>
        </w:rPr>
        <w:t>可对主机资产、网站资产，设备操作系统、端口、服务、组件等资产进行高效识别，有效帮助学校发现未知资产、管控现有资产。</w:t>
      </w:r>
    </w:p>
    <w:p w14:paraId="1B52513B">
      <w:pPr>
        <w:pStyle w:val="5"/>
        <w:rPr>
          <w:rFonts w:hint="eastAsia"/>
        </w:rPr>
      </w:pPr>
      <w:bookmarkStart w:id="50" w:name="_Toc114580406"/>
      <w:bookmarkStart w:id="51" w:name="_Toc97216096"/>
      <w:bookmarkStart w:id="52" w:name="_Toc98511795"/>
      <w:r>
        <w:rPr>
          <w:rFonts w:hint="eastAsia"/>
        </w:rPr>
        <w:t>网站资产测绘</w:t>
      </w:r>
      <w:bookmarkEnd w:id="50"/>
      <w:bookmarkEnd w:id="51"/>
      <w:bookmarkEnd w:id="52"/>
    </w:p>
    <w:p w14:paraId="400307B8">
      <w:pPr>
        <w:pStyle w:val="32"/>
        <w:spacing w:line="360" w:lineRule="auto"/>
        <w:jc w:val="center"/>
        <w:rPr>
          <w:rFonts w:hint="eastAsia" w:ascii="宋体" w:hAnsi="宋体"/>
          <w:sz w:val="24"/>
          <w:szCs w:val="24"/>
        </w:rPr>
      </w:pPr>
    </w:p>
    <w:p w14:paraId="4F4BFC07">
      <w:pPr>
        <w:pStyle w:val="32"/>
        <w:numPr>
          <w:ilvl w:val="0"/>
          <w:numId w:val="7"/>
        </w:numPr>
        <w:spacing w:line="360" w:lineRule="auto"/>
        <w:rPr>
          <w:rFonts w:hint="eastAsia" w:ascii="宋体" w:hAnsi="宋体"/>
          <w:sz w:val="24"/>
          <w:szCs w:val="24"/>
        </w:rPr>
      </w:pPr>
      <w:r>
        <w:rPr>
          <w:rFonts w:hint="eastAsia" w:ascii="宋体" w:hAnsi="宋体"/>
          <w:sz w:val="24"/>
          <w:szCs w:val="24"/>
        </w:rPr>
        <w:t>使用各种搜索引擎、第三方</w:t>
      </w:r>
      <w:r>
        <w:rPr>
          <w:rFonts w:ascii="宋体" w:hAnsi="宋体"/>
          <w:sz w:val="24"/>
          <w:szCs w:val="24"/>
        </w:rPr>
        <w:t>DNS</w:t>
      </w:r>
      <w:r>
        <w:rPr>
          <w:rFonts w:hint="eastAsia" w:ascii="宋体" w:hAnsi="宋体"/>
          <w:sz w:val="24"/>
          <w:szCs w:val="24"/>
        </w:rPr>
        <w:t>数据库、子域名暴破技术、</w:t>
      </w:r>
      <w:r>
        <w:rPr>
          <w:rFonts w:ascii="宋体" w:hAnsi="宋体"/>
          <w:sz w:val="24"/>
          <w:szCs w:val="24"/>
        </w:rPr>
        <w:t>IP</w:t>
      </w:r>
      <w:r>
        <w:rPr>
          <w:rFonts w:hint="eastAsia" w:ascii="宋体" w:hAnsi="宋体"/>
          <w:sz w:val="24"/>
          <w:szCs w:val="24"/>
        </w:rPr>
        <w:t>反查域名技术，监测互联网子域名资产。</w:t>
      </w:r>
    </w:p>
    <w:p w14:paraId="31107EBF">
      <w:pPr>
        <w:pStyle w:val="32"/>
        <w:numPr>
          <w:ilvl w:val="0"/>
          <w:numId w:val="7"/>
        </w:numPr>
        <w:spacing w:line="360" w:lineRule="auto"/>
        <w:rPr>
          <w:rFonts w:hint="eastAsia" w:ascii="宋体" w:hAnsi="宋体"/>
          <w:sz w:val="24"/>
          <w:szCs w:val="24"/>
        </w:rPr>
      </w:pPr>
      <w:r>
        <w:rPr>
          <w:rFonts w:hint="eastAsia" w:ascii="宋体" w:hAnsi="宋体"/>
          <w:sz w:val="24"/>
          <w:szCs w:val="24"/>
        </w:rPr>
        <w:t>深度爬取、判别属于本校的网站</w:t>
      </w:r>
      <w:r>
        <w:rPr>
          <w:rFonts w:ascii="宋体" w:hAnsi="宋体"/>
          <w:sz w:val="24"/>
          <w:szCs w:val="24"/>
        </w:rPr>
        <w:t>url</w:t>
      </w:r>
      <w:r>
        <w:rPr>
          <w:rFonts w:hint="eastAsia" w:ascii="宋体" w:hAnsi="宋体"/>
          <w:sz w:val="24"/>
          <w:szCs w:val="24"/>
        </w:rPr>
        <w:t>链接。</w:t>
      </w:r>
    </w:p>
    <w:p w14:paraId="60DB35EF">
      <w:pPr>
        <w:pStyle w:val="32"/>
        <w:numPr>
          <w:ilvl w:val="0"/>
          <w:numId w:val="7"/>
        </w:numPr>
        <w:spacing w:line="360" w:lineRule="auto"/>
        <w:rPr>
          <w:rFonts w:hint="eastAsia" w:ascii="宋体" w:hAnsi="宋体"/>
          <w:sz w:val="24"/>
          <w:szCs w:val="24"/>
        </w:rPr>
      </w:pPr>
      <w:r>
        <w:rPr>
          <w:rFonts w:hint="eastAsia" w:ascii="宋体" w:hAnsi="宋体"/>
          <w:sz w:val="24"/>
          <w:szCs w:val="24"/>
        </w:rPr>
        <w:t>全面探测存活</w:t>
      </w:r>
      <w:r>
        <w:rPr>
          <w:rFonts w:ascii="宋体" w:hAnsi="宋体"/>
          <w:sz w:val="24"/>
          <w:szCs w:val="24"/>
        </w:rPr>
        <w:t>IP</w:t>
      </w:r>
      <w:r>
        <w:rPr>
          <w:rFonts w:hint="eastAsia" w:ascii="宋体" w:hAnsi="宋体"/>
          <w:sz w:val="24"/>
          <w:szCs w:val="24"/>
        </w:rPr>
        <w:t>、端口资产，识别操作系统、应用、服务、中间件、数据库等，以及相应版本号。</w:t>
      </w:r>
    </w:p>
    <w:p w14:paraId="54B0F5C7">
      <w:pPr>
        <w:pStyle w:val="32"/>
        <w:numPr>
          <w:ilvl w:val="0"/>
          <w:numId w:val="7"/>
        </w:numPr>
        <w:spacing w:line="360" w:lineRule="auto"/>
        <w:rPr>
          <w:rFonts w:hint="eastAsia" w:ascii="宋体" w:hAnsi="宋体"/>
          <w:sz w:val="24"/>
          <w:szCs w:val="24"/>
        </w:rPr>
      </w:pPr>
      <w:r>
        <w:rPr>
          <w:rFonts w:hint="eastAsia" w:ascii="宋体" w:hAnsi="宋体"/>
          <w:sz w:val="24"/>
          <w:szCs w:val="24"/>
        </w:rPr>
        <w:t>对已识别到的资产，进行变更探测，自动识别已下线资产、存活资产，跟踪资产新增趋势。</w:t>
      </w:r>
    </w:p>
    <w:p w14:paraId="23D1B8F9">
      <w:pPr>
        <w:pStyle w:val="5"/>
        <w:rPr>
          <w:rFonts w:hint="eastAsia"/>
        </w:rPr>
      </w:pPr>
      <w:bookmarkStart w:id="53" w:name="_Toc114580407"/>
      <w:bookmarkStart w:id="54" w:name="_Toc98511796"/>
      <w:bookmarkStart w:id="55" w:name="_Toc97216097"/>
      <w:r>
        <w:t>“</w:t>
      </w:r>
      <w:r>
        <w:rPr>
          <w:rFonts w:hint="eastAsia"/>
        </w:rPr>
        <w:t>双非</w:t>
      </w:r>
      <w:r>
        <w:t>”</w:t>
      </w:r>
      <w:r>
        <w:rPr>
          <w:rFonts w:hint="eastAsia"/>
        </w:rPr>
        <w:t>资产监测</w:t>
      </w:r>
      <w:bookmarkEnd w:id="53"/>
    </w:p>
    <w:p w14:paraId="3FB1EE97">
      <w:r>
        <w:rPr>
          <w:rFonts w:hint="eastAsia"/>
        </w:rPr>
        <w:t>为落实教育部和公安部关于网络信息安全的统筹部署，全面排查“双非”信息系统（网站），深化网络基础设施和业务系统安全防护，通过资产安全运维服务平台加强网络和信息资产管理，协助学校开展网站资产信息梳理排查工作，及时发现 “双非”信息系统网站信息。</w:t>
      </w:r>
    </w:p>
    <w:p w14:paraId="281AF14C">
      <w:pPr>
        <w:pStyle w:val="5"/>
        <w:rPr>
          <w:rFonts w:hint="eastAsia"/>
        </w:rPr>
      </w:pPr>
      <w:bookmarkStart w:id="56" w:name="_Toc114580408"/>
      <w:r>
        <w:rPr>
          <w:rFonts w:hint="eastAsia"/>
        </w:rPr>
        <w:t>资产梳理</w:t>
      </w:r>
      <w:bookmarkEnd w:id="54"/>
      <w:bookmarkEnd w:id="55"/>
      <w:bookmarkEnd w:id="56"/>
    </w:p>
    <w:p w14:paraId="2CA7AD4E">
      <w:pPr>
        <w:pStyle w:val="32"/>
        <w:spacing w:line="360" w:lineRule="auto"/>
        <w:ind w:firstLine="480"/>
        <w:rPr>
          <w:rFonts w:hint="eastAsia" w:ascii="宋体" w:hAnsi="宋体"/>
          <w:sz w:val="24"/>
          <w:szCs w:val="24"/>
        </w:rPr>
      </w:pPr>
      <w:r>
        <w:rPr>
          <w:rFonts w:ascii="宋体" w:hAnsi="宋体"/>
          <w:sz w:val="24"/>
          <w:szCs w:val="24"/>
        </w:rPr>
        <w:t>将识别到的主机资产、</w:t>
      </w:r>
      <w:r>
        <w:rPr>
          <w:rFonts w:hint="eastAsia" w:ascii="宋体" w:hAnsi="宋体"/>
          <w:sz w:val="24"/>
          <w:szCs w:val="24"/>
        </w:rPr>
        <w:t>web资产信息入库到资产中心，并支持用户导入、在线编辑资产责任人相关属性，快速建立起完善的资产表，并可将资产关联portal用户，portal用户可登录系统进行相关的资产自助管理操作。</w:t>
      </w:r>
    </w:p>
    <w:p w14:paraId="37B041C2"/>
    <w:p w14:paraId="7FD780B2">
      <w:pPr>
        <w:pStyle w:val="4"/>
        <w:rPr>
          <w:rFonts w:hint="eastAsia"/>
        </w:rPr>
      </w:pPr>
      <w:bookmarkStart w:id="57" w:name="_Toc97216098"/>
      <w:bookmarkStart w:id="58" w:name="_Toc1830680308"/>
      <w:bookmarkStart w:id="59" w:name="_Toc98511797"/>
      <w:bookmarkStart w:id="60" w:name="_Toc114580409"/>
      <w:r>
        <w:rPr>
          <w:rFonts w:hint="eastAsia"/>
        </w:rPr>
        <w:t>脆弱性管理</w:t>
      </w:r>
      <w:bookmarkEnd w:id="57"/>
      <w:bookmarkEnd w:id="58"/>
      <w:bookmarkEnd w:id="59"/>
      <w:bookmarkEnd w:id="60"/>
    </w:p>
    <w:p w14:paraId="097128F9">
      <w:pPr>
        <w:rPr>
          <w:b/>
          <w:bCs/>
        </w:rPr>
      </w:pPr>
      <w:r>
        <w:rPr>
          <w:rFonts w:hint="eastAsia"/>
          <w:b/>
          <w:bCs/>
        </w:rPr>
        <w:t>服务包括：</w:t>
      </w:r>
    </w:p>
    <w:p w14:paraId="553D991F">
      <w:pPr>
        <w:pStyle w:val="5"/>
        <w:rPr>
          <w:rFonts w:hint="eastAsia"/>
        </w:rPr>
      </w:pPr>
      <w:bookmarkStart w:id="61" w:name="_Toc98511798"/>
      <w:bookmarkStart w:id="62" w:name="_Toc114580410"/>
      <w:bookmarkStart w:id="63" w:name="_Toc97216099"/>
      <w:r>
        <w:rPr>
          <w:rFonts w:hint="eastAsia"/>
        </w:rPr>
        <w:t>主机/WEB漏洞扫描</w:t>
      </w:r>
      <w:bookmarkEnd w:id="61"/>
      <w:bookmarkEnd w:id="62"/>
      <w:bookmarkEnd w:id="63"/>
    </w:p>
    <w:p w14:paraId="37280ABC">
      <w:pPr>
        <w:pStyle w:val="31"/>
        <w:spacing w:line="360" w:lineRule="auto"/>
        <w:ind w:firstLine="420"/>
        <w:rPr>
          <w:rFonts w:hint="eastAsia" w:ascii="宋体" w:hAnsi="宋体"/>
          <w:sz w:val="24"/>
          <w:szCs w:val="24"/>
        </w:rPr>
      </w:pPr>
      <w:r>
        <w:rPr>
          <w:rFonts w:hint="eastAsia"/>
        </w:rPr>
        <w:t>对网络设备、主机、数据库、应用系统进行漏洞扫描，并根据扫描结果进行综合分析，评估漏洞的危害大小，最终提供可行的漏洞解决方案</w:t>
      </w:r>
      <w:r>
        <w:rPr>
          <w:rFonts w:hint="eastAsia" w:ascii="宋体" w:hAnsi="宋体"/>
          <w:sz w:val="24"/>
          <w:szCs w:val="24"/>
        </w:rPr>
        <w:t>。</w:t>
      </w:r>
    </w:p>
    <w:p w14:paraId="1630AB49">
      <w:pPr>
        <w:pStyle w:val="5"/>
        <w:rPr>
          <w:rFonts w:hint="eastAsia"/>
        </w:rPr>
      </w:pPr>
      <w:bookmarkStart w:id="64" w:name="_Toc97216101"/>
      <w:bookmarkStart w:id="65" w:name="_Toc98511800"/>
      <w:bookmarkStart w:id="66" w:name="_Toc114580412"/>
      <w:r>
        <w:rPr>
          <w:rFonts w:hint="eastAsia"/>
        </w:rPr>
        <w:t>配置核查</w:t>
      </w:r>
      <w:bookmarkEnd w:id="64"/>
      <w:bookmarkEnd w:id="65"/>
      <w:bookmarkEnd w:id="66"/>
    </w:p>
    <w:p w14:paraId="6427D2F4">
      <w:pPr>
        <w:pStyle w:val="31"/>
        <w:spacing w:line="360" w:lineRule="auto"/>
        <w:ind w:firstLine="480"/>
        <w:rPr>
          <w:rFonts w:hint="eastAsia" w:ascii="宋体" w:hAnsi="宋体"/>
          <w:sz w:val="24"/>
          <w:szCs w:val="24"/>
        </w:rPr>
      </w:pPr>
      <w:r>
        <w:rPr>
          <w:rFonts w:hint="eastAsia" w:ascii="宋体" w:hAnsi="宋体"/>
          <w:sz w:val="24"/>
          <w:szCs w:val="24"/>
        </w:rPr>
        <w:t>通过安全运维服务平台，对I</w:t>
      </w:r>
      <w:r>
        <w:rPr>
          <w:rFonts w:ascii="宋体" w:hAnsi="宋体"/>
          <w:sz w:val="24"/>
          <w:szCs w:val="24"/>
        </w:rPr>
        <w:t>T</w:t>
      </w:r>
      <w:r>
        <w:rPr>
          <w:rFonts w:hint="eastAsia" w:ascii="宋体" w:hAnsi="宋体"/>
          <w:sz w:val="24"/>
          <w:szCs w:val="24"/>
        </w:rPr>
        <w:t>系统资产的合规性进行检查。</w:t>
      </w:r>
    </w:p>
    <w:p w14:paraId="66D4C6C3">
      <w:pPr>
        <w:pStyle w:val="5"/>
        <w:rPr>
          <w:rFonts w:hint="eastAsia"/>
        </w:rPr>
      </w:pPr>
      <w:bookmarkStart w:id="67" w:name="_Toc114580413"/>
      <w:bookmarkStart w:id="68" w:name="_Toc98511801"/>
      <w:bookmarkStart w:id="69" w:name="_Toc97216102"/>
      <w:r>
        <w:rPr>
          <w:rFonts w:hint="eastAsia"/>
        </w:rPr>
        <w:t>弱口令排查</w:t>
      </w:r>
      <w:bookmarkEnd w:id="67"/>
      <w:bookmarkEnd w:id="68"/>
      <w:bookmarkEnd w:id="69"/>
    </w:p>
    <w:p w14:paraId="0BDA04CE">
      <w:pPr>
        <w:pStyle w:val="31"/>
        <w:spacing w:line="360" w:lineRule="auto"/>
        <w:ind w:firstLine="480"/>
        <w:rPr>
          <w:rFonts w:hint="eastAsia" w:ascii="宋体" w:hAnsi="宋体"/>
          <w:sz w:val="24"/>
          <w:szCs w:val="24"/>
        </w:rPr>
      </w:pPr>
      <w:r>
        <w:rPr>
          <w:rFonts w:hint="eastAsia" w:ascii="宋体" w:hAnsi="宋体"/>
          <w:sz w:val="24"/>
          <w:szCs w:val="24"/>
        </w:rPr>
        <w:t>支持对各类应用资产的弱口令扫描，包括各类应用、数据库、远程管理协议等，可针对不同协议设置不同的弱口令字典。</w:t>
      </w:r>
    </w:p>
    <w:p w14:paraId="45F6FDC5">
      <w:pPr>
        <w:pStyle w:val="4"/>
        <w:rPr>
          <w:rFonts w:hint="eastAsia"/>
        </w:rPr>
      </w:pPr>
      <w:bookmarkStart w:id="70" w:name="_Toc114580415"/>
      <w:bookmarkStart w:id="71" w:name="_Toc1245725987"/>
      <w:r>
        <w:rPr>
          <w:rFonts w:hint="eastAsia"/>
        </w:rPr>
        <w:t>业务系统安全检测</w:t>
      </w:r>
      <w:bookmarkEnd w:id="70"/>
      <w:bookmarkEnd w:id="71"/>
    </w:p>
    <w:p w14:paraId="2F724B7B">
      <w:pPr>
        <w:pStyle w:val="5"/>
        <w:rPr>
          <w:rFonts w:hint="eastAsia"/>
        </w:rPr>
      </w:pPr>
      <w:bookmarkStart w:id="72" w:name="_Toc114580416"/>
      <w:r>
        <w:rPr>
          <w:rFonts w:hint="eastAsia"/>
        </w:rPr>
        <w:t>系统上线评估</w:t>
      </w:r>
      <w:bookmarkEnd w:id="72"/>
    </w:p>
    <w:p w14:paraId="4EC66A26">
      <w:pPr>
        <w:pStyle w:val="31"/>
        <w:spacing w:line="360" w:lineRule="auto"/>
        <w:ind w:firstLine="480"/>
        <w:rPr>
          <w:rFonts w:hint="eastAsia" w:ascii="宋体" w:hAnsi="宋体"/>
          <w:sz w:val="24"/>
          <w:szCs w:val="24"/>
        </w:rPr>
      </w:pPr>
      <w:r>
        <w:rPr>
          <w:rFonts w:hint="eastAsia" w:ascii="宋体" w:hAnsi="宋体"/>
          <w:sz w:val="24"/>
          <w:szCs w:val="24"/>
        </w:rPr>
        <w:t>系统上线评估，即应用系统（业务系统）正式投入生产运行之前利用大量安全性行业经验和先进安全技术相结合，</w:t>
      </w:r>
      <w:r>
        <w:rPr>
          <w:rFonts w:ascii="宋体" w:hAnsi="宋体"/>
          <w:sz w:val="24"/>
          <w:szCs w:val="24"/>
        </w:rPr>
        <w:t>对系统可能存的安全隐患</w:t>
      </w:r>
      <w:r>
        <w:rPr>
          <w:rFonts w:hint="eastAsia" w:ascii="宋体" w:hAnsi="宋体"/>
          <w:sz w:val="24"/>
          <w:szCs w:val="24"/>
        </w:rPr>
        <w:t>进行综合分析和评价。系统上线前安全评估是为最大化减小生产运行系统可能存在的安全隐患，而设计的一套行之有效、针对性强的风险识别、检测、规避方法。</w:t>
      </w:r>
    </w:p>
    <w:p w14:paraId="2CE3240C">
      <w:pPr>
        <w:pStyle w:val="31"/>
        <w:spacing w:line="360" w:lineRule="auto"/>
        <w:ind w:firstLine="480"/>
        <w:rPr>
          <w:rFonts w:hint="eastAsia" w:ascii="宋体" w:hAnsi="宋体"/>
          <w:sz w:val="24"/>
          <w:szCs w:val="24"/>
        </w:rPr>
      </w:pPr>
      <w:r>
        <w:rPr>
          <w:rFonts w:hint="eastAsia" w:ascii="宋体" w:hAnsi="宋体"/>
          <w:sz w:val="24"/>
          <w:szCs w:val="24"/>
        </w:rPr>
        <w:t>系统上线前安全评估服务的对象是应用系统，包括物理环境、网络设备、操作系统、应用软件、代码程序和数据等。系统上线前安全评估服务的实施时间建议在应用系统完成编码与测试阶段，部署至生产环境后，正式发布前。</w:t>
      </w:r>
    </w:p>
    <w:p w14:paraId="20EABDF2">
      <w:pPr>
        <w:pStyle w:val="31"/>
        <w:spacing w:line="360" w:lineRule="auto"/>
        <w:ind w:firstLine="480"/>
        <w:rPr>
          <w:rFonts w:hint="eastAsia" w:ascii="宋体" w:hAnsi="宋体"/>
          <w:sz w:val="24"/>
          <w:szCs w:val="24"/>
        </w:rPr>
      </w:pPr>
      <w:bookmarkStart w:id="73" w:name="_Toc326157654"/>
      <w:r>
        <w:rPr>
          <w:rFonts w:hint="eastAsia" w:ascii="宋体" w:hAnsi="宋体"/>
          <w:sz w:val="24"/>
          <w:szCs w:val="24"/>
        </w:rPr>
        <w:t>服务内容</w:t>
      </w:r>
      <w:bookmarkEnd w:id="73"/>
      <w:r>
        <w:rPr>
          <w:rFonts w:hint="eastAsia" w:ascii="宋体" w:hAnsi="宋体"/>
          <w:sz w:val="24"/>
          <w:szCs w:val="24"/>
        </w:rPr>
        <w:t>：系统上线前安全评估服务的主要内容包括管理调研和技术评估两部分工作。分别从物理、网络、系统、应用、数据、管理六个层面进行实施开展。</w:t>
      </w:r>
    </w:p>
    <w:p w14:paraId="6885C1BB">
      <w:pPr>
        <w:pStyle w:val="5"/>
        <w:rPr>
          <w:rFonts w:hint="eastAsia"/>
        </w:rPr>
      </w:pPr>
      <w:bookmarkStart w:id="74" w:name="_Toc75201331"/>
      <w:bookmarkStart w:id="75" w:name="_Toc114580417"/>
      <w:bookmarkStart w:id="76" w:name="_Toc55153002"/>
      <w:r>
        <w:rPr>
          <w:rFonts w:hint="eastAsia"/>
        </w:rPr>
        <w:t>系统渗透</w:t>
      </w:r>
      <w:r>
        <w:t>测试</w:t>
      </w:r>
      <w:bookmarkEnd w:id="74"/>
      <w:bookmarkEnd w:id="75"/>
      <w:bookmarkEnd w:id="76"/>
    </w:p>
    <w:p w14:paraId="6E661473">
      <w:pPr>
        <w:pStyle w:val="31"/>
        <w:spacing w:line="360" w:lineRule="auto"/>
        <w:ind w:firstLine="480"/>
        <w:rPr>
          <w:rFonts w:hint="eastAsia" w:ascii="宋体" w:hAnsi="宋体"/>
          <w:sz w:val="24"/>
          <w:szCs w:val="24"/>
        </w:rPr>
      </w:pPr>
      <w:r>
        <w:rPr>
          <w:rFonts w:hint="eastAsia" w:ascii="宋体" w:hAnsi="宋体"/>
          <w:sz w:val="24"/>
          <w:szCs w:val="24"/>
        </w:rPr>
        <w:t>渗透测试（Penetration Testing）是由具备高技能和高素质的安全服务人员发起、并模拟常见黑客所使用的攻击手段对目标系统进行模拟入侵。渗透测试服务的目的在于充分挖掘和暴露系统的弱点，从而让管理人员了解其系统所面临的威胁。渗透测试工作往往作为风险评估的一个重要环节，为风险评估提供重要的原始参考数据。</w:t>
      </w:r>
    </w:p>
    <w:p w14:paraId="5D2B60BC">
      <w:pPr>
        <w:pStyle w:val="5"/>
        <w:rPr>
          <w:rFonts w:hint="eastAsia"/>
        </w:rPr>
      </w:pPr>
      <w:bookmarkStart w:id="77" w:name="_Toc114580418"/>
      <w:bookmarkStart w:id="78" w:name="_Toc98511791"/>
      <w:bookmarkStart w:id="79" w:name="_Toc55152999"/>
      <w:bookmarkStart w:id="80" w:name="_Toc75201333"/>
      <w:bookmarkStart w:id="81" w:name="_Toc97216092"/>
      <w:bookmarkStart w:id="82" w:name="_Toc55153004"/>
      <w:bookmarkStart w:id="83" w:name="_Toc75201328"/>
      <w:r>
        <w:rPr>
          <w:rFonts w:hint="eastAsia"/>
        </w:rPr>
        <w:t>互联网域名监测</w:t>
      </w:r>
      <w:bookmarkEnd w:id="77"/>
    </w:p>
    <w:p w14:paraId="642AE7EF">
      <w:pPr>
        <w:pStyle w:val="32"/>
        <w:spacing w:line="360" w:lineRule="auto"/>
        <w:ind w:firstLine="484" w:firstLineChars="202"/>
        <w:rPr>
          <w:rFonts w:hint="eastAsia" w:ascii="宋体" w:hAnsi="宋体"/>
          <w:sz w:val="24"/>
          <w:szCs w:val="24"/>
        </w:rPr>
      </w:pPr>
      <w:r>
        <w:rPr>
          <w:rFonts w:ascii="宋体" w:hAnsi="宋体"/>
          <w:sz w:val="24"/>
          <w:szCs w:val="24"/>
        </w:rPr>
        <w:t>包含：</w:t>
      </w:r>
      <w:r>
        <w:rPr>
          <w:rFonts w:hint="eastAsia" w:ascii="宋体" w:hAnsi="宋体"/>
          <w:sz w:val="24"/>
          <w:szCs w:val="24"/>
        </w:rPr>
        <w:t>web漏洞扫描、域名监测、敏感词监测、敏感文件监测、事件监测。</w:t>
      </w:r>
    </w:p>
    <w:p w14:paraId="5D109B48">
      <w:pPr>
        <w:pStyle w:val="32"/>
        <w:spacing w:line="360" w:lineRule="auto"/>
        <w:ind w:firstLine="484" w:firstLineChars="202"/>
        <w:rPr>
          <w:rFonts w:hint="eastAsia" w:ascii="宋体" w:hAnsi="宋体"/>
          <w:sz w:val="24"/>
          <w:szCs w:val="24"/>
        </w:rPr>
      </w:pPr>
      <w:r>
        <w:rPr>
          <w:rFonts w:hint="eastAsia" w:ascii="宋体" w:hAnsi="宋体"/>
          <w:sz w:val="24"/>
          <w:szCs w:val="24"/>
        </w:rPr>
        <w:t>1、web漏扫引擎涵盖了owasp top 10漏洞，而且扫描结果包含漏洞验证的请求、以及漏洞验证成功返回的证据数据，降低误报的同时方便用户确认漏洞的真实性。</w:t>
      </w:r>
    </w:p>
    <w:p w14:paraId="612202BA">
      <w:pPr>
        <w:pStyle w:val="32"/>
        <w:spacing w:line="360" w:lineRule="auto"/>
        <w:ind w:firstLine="484" w:firstLineChars="202"/>
        <w:rPr>
          <w:rFonts w:hint="eastAsia" w:ascii="宋体" w:hAnsi="宋体"/>
          <w:sz w:val="24"/>
          <w:szCs w:val="24"/>
        </w:rPr>
      </w:pPr>
      <w:r>
        <w:rPr>
          <w:rFonts w:ascii="宋体" w:hAnsi="宋体"/>
          <w:sz w:val="24"/>
          <w:szCs w:val="24"/>
        </w:rPr>
        <w:t>2、</w:t>
      </w:r>
      <w:r>
        <w:rPr>
          <w:rFonts w:hint="eastAsia" w:ascii="宋体" w:hAnsi="宋体"/>
          <w:sz w:val="24"/>
          <w:szCs w:val="24"/>
        </w:rPr>
        <w:t>敏感词监测采用了全网站页面监测技术，可监测整个网站所有页面是否包含自定义的敏感词信息。</w:t>
      </w:r>
    </w:p>
    <w:p w14:paraId="70CF9726">
      <w:pPr>
        <w:pStyle w:val="32"/>
        <w:spacing w:line="360" w:lineRule="auto"/>
        <w:ind w:firstLine="484" w:firstLineChars="202"/>
        <w:rPr>
          <w:rFonts w:hint="eastAsia" w:ascii="宋体" w:hAnsi="宋体"/>
          <w:sz w:val="24"/>
          <w:szCs w:val="24"/>
        </w:rPr>
      </w:pPr>
      <w:r>
        <w:rPr>
          <w:rFonts w:ascii="宋体" w:hAnsi="宋体"/>
          <w:sz w:val="24"/>
          <w:szCs w:val="24"/>
        </w:rPr>
        <w:t>3、</w:t>
      </w:r>
      <w:r>
        <w:rPr>
          <w:rFonts w:hint="eastAsia" w:ascii="宋体" w:hAnsi="宋体"/>
          <w:sz w:val="24"/>
          <w:szCs w:val="24"/>
        </w:rPr>
        <w:t>敏感文件监测：可监测网站上传的excel、p</w:t>
      </w:r>
      <w:r>
        <w:rPr>
          <w:rFonts w:ascii="宋体" w:hAnsi="宋体"/>
          <w:sz w:val="24"/>
          <w:szCs w:val="24"/>
        </w:rPr>
        <w:t>df</w:t>
      </w:r>
      <w:r>
        <w:rPr>
          <w:rFonts w:hint="eastAsia" w:ascii="宋体" w:hAnsi="宋体"/>
          <w:sz w:val="24"/>
          <w:szCs w:val="24"/>
        </w:rPr>
        <w:t>、w</w:t>
      </w:r>
      <w:r>
        <w:rPr>
          <w:rFonts w:ascii="宋体" w:hAnsi="宋体"/>
          <w:sz w:val="24"/>
          <w:szCs w:val="24"/>
        </w:rPr>
        <w:t>ord等文件是否包含敏感信息，在许多情况下，网站管理</w:t>
      </w:r>
      <w:r>
        <w:rPr>
          <w:rFonts w:hint="eastAsia" w:ascii="宋体" w:hAnsi="宋体"/>
          <w:sz w:val="24"/>
          <w:szCs w:val="24"/>
        </w:rPr>
        <w:t>员可能没注意上传的文件是否存在敏感信息（比如身份证号、手机号等个人信息）。</w:t>
      </w:r>
    </w:p>
    <w:p w14:paraId="66E67720">
      <w:pPr>
        <w:pStyle w:val="32"/>
        <w:spacing w:line="360" w:lineRule="auto"/>
        <w:ind w:firstLine="484" w:firstLineChars="202"/>
        <w:rPr>
          <w:rFonts w:hint="eastAsia" w:ascii="宋体" w:hAnsi="宋体"/>
          <w:sz w:val="24"/>
          <w:szCs w:val="24"/>
        </w:rPr>
      </w:pPr>
      <w:r>
        <w:rPr>
          <w:rFonts w:hint="eastAsia" w:ascii="宋体" w:hAnsi="宋体"/>
          <w:sz w:val="24"/>
          <w:szCs w:val="24"/>
        </w:rPr>
        <w:t>4、</w:t>
      </w:r>
      <w:r>
        <w:rPr>
          <w:rFonts w:ascii="宋体" w:hAnsi="宋体"/>
          <w:sz w:val="24"/>
          <w:szCs w:val="24"/>
        </w:rPr>
        <w:t>事件监测包含：黑链、篡改、挂马、可用性、域名劫持等网站安全事件监测。</w:t>
      </w:r>
    </w:p>
    <w:p w14:paraId="3274FD3D">
      <w:pPr>
        <w:pStyle w:val="4"/>
        <w:rPr>
          <w:rFonts w:hint="eastAsia"/>
        </w:rPr>
      </w:pPr>
      <w:bookmarkStart w:id="84" w:name="_Toc1098588906"/>
      <w:r>
        <w:rPr>
          <w:rFonts w:hint="eastAsia"/>
        </w:rPr>
        <w:t>数据安全检测服务</w:t>
      </w:r>
      <w:bookmarkEnd w:id="84"/>
    </w:p>
    <w:p w14:paraId="4D23D53E">
      <w:pPr>
        <w:pStyle w:val="5"/>
        <w:rPr>
          <w:rFonts w:hint="eastAsia"/>
        </w:rPr>
      </w:pPr>
      <w:r>
        <w:rPr>
          <w:rFonts w:hint="eastAsia"/>
        </w:rPr>
        <w:t>数据资产发现</w:t>
      </w:r>
    </w:p>
    <w:p w14:paraId="72B87B52">
      <w:pPr>
        <w:pStyle w:val="24"/>
        <w:numPr>
          <w:ilvl w:val="0"/>
          <w:numId w:val="8"/>
        </w:numPr>
        <w:ind w:firstLineChars="0"/>
        <w:rPr>
          <w:rFonts w:hint="eastAsia" w:ascii="宋体" w:hAnsi="宋体"/>
        </w:rPr>
      </w:pPr>
      <w:r>
        <w:rPr>
          <w:rFonts w:hint="eastAsia" w:ascii="宋体" w:hAnsi="宋体"/>
          <w:szCs w:val="24"/>
        </w:rPr>
        <w:t>数据库发现：基于网络嗅探技术，可自动寻找发现网络环境中存在的数据库。</w:t>
      </w:r>
    </w:p>
    <w:p w14:paraId="2A5FE3CA">
      <w:pPr>
        <w:pStyle w:val="24"/>
        <w:numPr>
          <w:ilvl w:val="0"/>
          <w:numId w:val="8"/>
        </w:numPr>
        <w:ind w:firstLineChars="0"/>
        <w:rPr>
          <w:rFonts w:hint="eastAsia" w:ascii="宋体" w:hAnsi="宋体"/>
        </w:rPr>
      </w:pPr>
      <w:r>
        <w:rPr>
          <w:rFonts w:hint="eastAsia" w:ascii="宋体" w:hAnsi="宋体"/>
          <w:szCs w:val="24"/>
        </w:rPr>
        <w:t>敏感数据发现：基于特征匹配的敏感数据探测技术，可自动梳理数据库中敏感数据分布。</w:t>
      </w:r>
    </w:p>
    <w:p w14:paraId="3BB27E8C">
      <w:pPr>
        <w:pStyle w:val="24"/>
        <w:numPr>
          <w:ilvl w:val="0"/>
          <w:numId w:val="8"/>
        </w:numPr>
        <w:ind w:firstLineChars="0"/>
        <w:rPr>
          <w:rFonts w:hint="eastAsia" w:ascii="宋体" w:hAnsi="宋体"/>
        </w:rPr>
      </w:pPr>
      <w:r>
        <w:rPr>
          <w:rFonts w:hint="eastAsia" w:ascii="宋体" w:hAnsi="宋体"/>
          <w:szCs w:val="24"/>
        </w:rPr>
        <w:t>数据库账户发现：基于数据库扫描技术，可自动发现数据库中账户权限分布情况。</w:t>
      </w:r>
    </w:p>
    <w:p w14:paraId="49AD833F">
      <w:pPr>
        <w:pStyle w:val="5"/>
        <w:rPr>
          <w:rFonts w:hint="eastAsia"/>
        </w:rPr>
      </w:pPr>
      <w:r>
        <w:rPr>
          <w:rFonts w:hint="eastAsia"/>
        </w:rPr>
        <w:t>敏感数据发现</w:t>
      </w:r>
    </w:p>
    <w:p w14:paraId="2090DF2E">
      <w:pPr>
        <w:pStyle w:val="24"/>
        <w:ind w:firstLine="480"/>
        <w:rPr>
          <w:rFonts w:hint="eastAsia" w:ascii="宋体" w:hAnsi="宋体"/>
        </w:rPr>
      </w:pPr>
      <w:r>
        <w:rPr>
          <w:rFonts w:hint="eastAsia" w:ascii="宋体" w:hAnsi="宋体"/>
          <w:szCs w:val="24"/>
        </w:rPr>
        <w:t>服务提供敏感数据探测功能，根据敏感数据特征模型，扫描数据库的表和列，自动识别数据库中的敏感数据。将识别到的敏感数据生成“敏感数据分布报告”</w:t>
      </w:r>
    </w:p>
    <w:p w14:paraId="70CEB2A3">
      <w:pPr>
        <w:pStyle w:val="5"/>
        <w:rPr>
          <w:rFonts w:hint="eastAsia"/>
        </w:rPr>
      </w:pPr>
      <w:r>
        <w:rPr>
          <w:rFonts w:hint="eastAsia"/>
        </w:rPr>
        <w:t>数据库漏洞扫描</w:t>
      </w:r>
    </w:p>
    <w:p w14:paraId="44A809A1">
      <w:pPr>
        <w:pStyle w:val="24"/>
        <w:ind w:firstLine="480"/>
        <w:rPr>
          <w:rFonts w:hint="eastAsia" w:ascii="宋体" w:hAnsi="宋体"/>
        </w:rPr>
      </w:pPr>
      <w:r>
        <w:rPr>
          <w:rFonts w:hint="eastAsia" w:ascii="宋体" w:hAnsi="宋体"/>
          <w:szCs w:val="24"/>
        </w:rPr>
        <w:t>通过使用默认的安全评估策略对数据库进行安全检测，对检测到的漏洞能提供其类别、危害等级、详细描述和解决方案建议，并能够生成统计分析报表，防止外部攻击。</w:t>
      </w:r>
    </w:p>
    <w:bookmarkEnd w:id="78"/>
    <w:bookmarkEnd w:id="79"/>
    <w:bookmarkEnd w:id="80"/>
    <w:bookmarkEnd w:id="81"/>
    <w:bookmarkEnd w:id="82"/>
    <w:bookmarkEnd w:id="83"/>
    <w:p w14:paraId="7D864D69">
      <w:pPr>
        <w:pStyle w:val="4"/>
        <w:rPr>
          <w:rFonts w:hint="eastAsia"/>
        </w:rPr>
      </w:pPr>
      <w:bookmarkStart w:id="85" w:name="_Toc2066829883"/>
      <w:bookmarkStart w:id="86" w:name="_Toc114580419"/>
      <w:r>
        <w:rPr>
          <w:rFonts w:hint="eastAsia"/>
        </w:rPr>
        <w:t>安全巡检服务</w:t>
      </w:r>
      <w:bookmarkEnd w:id="85"/>
      <w:bookmarkEnd w:id="86"/>
    </w:p>
    <w:p w14:paraId="2454B2E0">
      <w:pPr>
        <w:pStyle w:val="5"/>
        <w:rPr>
          <w:rFonts w:hint="eastAsia"/>
        </w:rPr>
      </w:pPr>
      <w:bookmarkStart w:id="87" w:name="_Toc114580420"/>
      <w:r>
        <w:rPr>
          <w:rFonts w:hint="eastAsia"/>
        </w:rPr>
        <w:t>网络安全设备巡检</w:t>
      </w:r>
      <w:bookmarkEnd w:id="87"/>
    </w:p>
    <w:p w14:paraId="605F0D6B">
      <w:pPr>
        <w:pStyle w:val="24"/>
        <w:ind w:firstLine="480"/>
        <w:rPr>
          <w:rFonts w:hint="eastAsia" w:ascii="宋体" w:hAnsi="宋体"/>
          <w:szCs w:val="24"/>
        </w:rPr>
      </w:pPr>
      <w:r>
        <w:rPr>
          <w:rFonts w:hint="eastAsia" w:ascii="宋体" w:hAnsi="宋体"/>
          <w:szCs w:val="24"/>
        </w:rPr>
        <w:t>查看安全设备的运行状态、设备负载等是否正常，同时对设备的版本进行检查，如版本不是最新，经客户确认需要升级后，进行版本升级（根据实际情况升级）。</w:t>
      </w:r>
    </w:p>
    <w:p w14:paraId="3992BE1A">
      <w:pPr>
        <w:pStyle w:val="24"/>
        <w:ind w:firstLine="480"/>
        <w:rPr>
          <w:rFonts w:hint="eastAsia" w:ascii="宋体" w:hAnsi="宋体"/>
          <w:szCs w:val="24"/>
        </w:rPr>
      </w:pPr>
      <w:r>
        <w:rPr>
          <w:rFonts w:hint="eastAsia" w:ascii="宋体" w:hAnsi="宋体"/>
          <w:szCs w:val="24"/>
        </w:rPr>
        <w:t>同时对安全设备进行配置检查是对IT范围内，漏洞扫描工具不能有效发现的方面进行安全辅助的一种有效评估手段。除已知、未知的漏洞外，安全设备配置的弱点或配置上的缺陷也同样会被攻击者利用，因此，有必要对安全设备的配置进行相应的检查。</w:t>
      </w:r>
    </w:p>
    <w:p w14:paraId="4D93CB6E">
      <w:pPr>
        <w:pStyle w:val="5"/>
        <w:rPr>
          <w:rFonts w:hint="eastAsia"/>
        </w:rPr>
      </w:pPr>
      <w:bookmarkStart w:id="88" w:name="_Toc114580421"/>
      <w:r>
        <w:rPr>
          <w:rFonts w:hint="eastAsia"/>
        </w:rPr>
        <w:t>服务器巡检</w:t>
      </w:r>
      <w:bookmarkEnd w:id="88"/>
    </w:p>
    <w:p w14:paraId="39F00896">
      <w:pPr>
        <w:pStyle w:val="31"/>
        <w:spacing w:line="360" w:lineRule="auto"/>
        <w:ind w:firstLine="480"/>
        <w:rPr>
          <w:rFonts w:hint="eastAsia" w:ascii="宋体" w:hAnsi="宋体"/>
          <w:sz w:val="24"/>
          <w:szCs w:val="24"/>
        </w:rPr>
      </w:pPr>
      <w:r>
        <w:rPr>
          <w:rFonts w:hint="eastAsia" w:ascii="宋体" w:hAnsi="宋体"/>
          <w:sz w:val="24"/>
          <w:szCs w:val="24"/>
        </w:rPr>
        <w:t>查看服务器的运行状态、设备负载等是否正常，同时对服务器的漏洞、补丁进行检查，如版本不是最新，经客户确认需要升级后，进行版本、补丁升级（根据实际情况升级）。</w:t>
      </w:r>
    </w:p>
    <w:p w14:paraId="48864339">
      <w:pPr>
        <w:pStyle w:val="5"/>
        <w:rPr>
          <w:rFonts w:hint="eastAsia"/>
        </w:rPr>
      </w:pPr>
      <w:bookmarkStart w:id="89" w:name="_Toc114580422"/>
      <w:r>
        <w:rPr>
          <w:rFonts w:hint="eastAsia"/>
        </w:rPr>
        <w:t>数据安全巡检</w:t>
      </w:r>
      <w:bookmarkEnd w:id="89"/>
    </w:p>
    <w:p w14:paraId="61CDCEA7">
      <w:pPr>
        <w:pStyle w:val="24"/>
        <w:ind w:firstLine="480"/>
        <w:rPr>
          <w:rFonts w:hint="eastAsia" w:ascii="宋体" w:hAnsi="宋体"/>
          <w:szCs w:val="24"/>
        </w:rPr>
      </w:pPr>
      <w:r>
        <w:rPr>
          <w:rFonts w:hint="eastAsia" w:ascii="宋体" w:hAnsi="宋体"/>
          <w:szCs w:val="24"/>
        </w:rPr>
        <w:t>针对数据库资产以及数据库账户、权限情况进行梳理清查，同时针对重要数据库进行数据资产的摸底，形成数据资产清单，全局掌握数据资产情况，清晰了解重要数据库的访问情况及风险情况。</w:t>
      </w:r>
    </w:p>
    <w:p w14:paraId="2F7DBA8E">
      <w:pPr>
        <w:pStyle w:val="24"/>
        <w:ind w:firstLine="480"/>
        <w:rPr>
          <w:rFonts w:hint="eastAsia" w:ascii="宋体" w:hAnsi="宋体"/>
          <w:szCs w:val="24"/>
        </w:rPr>
      </w:pPr>
      <w:r>
        <w:rPr>
          <w:rFonts w:hint="eastAsia" w:ascii="宋体" w:hAnsi="宋体"/>
          <w:szCs w:val="24"/>
        </w:rPr>
        <w:t>数据库的安全巡检包含但不限于以下内容：漏洞补丁管理、帐号和口令管理、认证、授权策略、访问控制、通讯协议、日志审核功能、其他安全配置……</w:t>
      </w:r>
    </w:p>
    <w:p w14:paraId="056AA3EB">
      <w:pPr>
        <w:pStyle w:val="24"/>
        <w:ind w:firstLine="480"/>
        <w:rPr>
          <w:rFonts w:hint="eastAsia" w:ascii="宋体" w:hAnsi="宋体"/>
          <w:szCs w:val="24"/>
        </w:rPr>
      </w:pPr>
      <w:r>
        <w:rPr>
          <w:rFonts w:hint="eastAsia" w:ascii="宋体" w:hAnsi="宋体"/>
          <w:szCs w:val="24"/>
        </w:rPr>
        <w:t>1、检查数据库CPU、I/O、内存消耗</w:t>
      </w:r>
    </w:p>
    <w:p w14:paraId="671F290A">
      <w:pPr>
        <w:pStyle w:val="24"/>
        <w:ind w:firstLine="480"/>
        <w:rPr>
          <w:rFonts w:hint="eastAsia" w:ascii="宋体" w:hAnsi="宋体"/>
          <w:szCs w:val="24"/>
        </w:rPr>
      </w:pPr>
      <w:r>
        <w:rPr>
          <w:rFonts w:ascii="宋体" w:hAnsi="宋体"/>
          <w:szCs w:val="24"/>
        </w:rPr>
        <w:t>#top</w:t>
      </w:r>
    </w:p>
    <w:p w14:paraId="31764717">
      <w:pPr>
        <w:pStyle w:val="24"/>
        <w:ind w:firstLine="480"/>
        <w:rPr>
          <w:rFonts w:hint="eastAsia" w:ascii="宋体" w:hAnsi="宋体"/>
          <w:szCs w:val="24"/>
        </w:rPr>
      </w:pPr>
      <w:r>
        <w:rPr>
          <w:rFonts w:hint="eastAsia" w:ascii="宋体" w:hAnsi="宋体"/>
          <w:szCs w:val="24"/>
        </w:rPr>
        <w:t>2、检查内存使用情况</w:t>
      </w:r>
    </w:p>
    <w:p w14:paraId="21920AC2">
      <w:pPr>
        <w:pStyle w:val="24"/>
        <w:ind w:firstLine="480"/>
        <w:rPr>
          <w:rFonts w:hint="eastAsia" w:ascii="宋体" w:hAnsi="宋体"/>
          <w:szCs w:val="24"/>
        </w:rPr>
      </w:pPr>
      <w:r>
        <w:rPr>
          <w:rFonts w:ascii="宋体" w:hAnsi="宋体"/>
          <w:szCs w:val="24"/>
        </w:rPr>
        <w:t>#free -g</w:t>
      </w:r>
    </w:p>
    <w:p w14:paraId="7AB3804D">
      <w:pPr>
        <w:pStyle w:val="24"/>
        <w:ind w:firstLine="480"/>
        <w:rPr>
          <w:rFonts w:hint="eastAsia" w:ascii="宋体" w:hAnsi="宋体"/>
          <w:szCs w:val="24"/>
        </w:rPr>
      </w:pPr>
      <w:r>
        <w:rPr>
          <w:rFonts w:hint="eastAsia" w:ascii="宋体" w:hAnsi="宋体"/>
          <w:szCs w:val="24"/>
        </w:rPr>
        <w:t>3、检查系统负载情况</w:t>
      </w:r>
    </w:p>
    <w:p w14:paraId="534E0348">
      <w:pPr>
        <w:pStyle w:val="24"/>
        <w:ind w:firstLine="480"/>
        <w:rPr>
          <w:rFonts w:hint="eastAsia" w:ascii="宋体" w:hAnsi="宋体"/>
          <w:szCs w:val="24"/>
        </w:rPr>
      </w:pPr>
      <w:r>
        <w:rPr>
          <w:rFonts w:ascii="宋体" w:hAnsi="宋体"/>
          <w:szCs w:val="24"/>
        </w:rPr>
        <w:t>#w</w:t>
      </w:r>
    </w:p>
    <w:p w14:paraId="72E0BDFD">
      <w:pPr>
        <w:pStyle w:val="24"/>
        <w:ind w:firstLine="480"/>
        <w:rPr>
          <w:rFonts w:hint="eastAsia" w:ascii="宋体" w:hAnsi="宋体"/>
          <w:szCs w:val="24"/>
        </w:rPr>
      </w:pPr>
      <w:r>
        <w:rPr>
          <w:rFonts w:hint="eastAsia" w:ascii="宋体" w:hAnsi="宋体"/>
          <w:szCs w:val="24"/>
        </w:rPr>
        <w:t>当load average三个数字均大于2.5时，系统处于高负载运行中。</w:t>
      </w:r>
    </w:p>
    <w:p w14:paraId="32E59523">
      <w:pPr>
        <w:pStyle w:val="24"/>
        <w:ind w:firstLine="480"/>
        <w:rPr>
          <w:rFonts w:hint="eastAsia" w:ascii="宋体" w:hAnsi="宋体"/>
          <w:szCs w:val="24"/>
        </w:rPr>
      </w:pPr>
      <w:r>
        <w:rPr>
          <w:rFonts w:hint="eastAsia" w:ascii="宋体" w:hAnsi="宋体"/>
          <w:szCs w:val="24"/>
        </w:rPr>
        <w:t>4、检查磁盘使用情况</w:t>
      </w:r>
    </w:p>
    <w:p w14:paraId="2C972DDE">
      <w:pPr>
        <w:pStyle w:val="24"/>
        <w:ind w:firstLine="480"/>
        <w:rPr>
          <w:rFonts w:hint="eastAsia" w:ascii="宋体" w:hAnsi="宋体"/>
          <w:szCs w:val="24"/>
        </w:rPr>
      </w:pPr>
      <w:r>
        <w:rPr>
          <w:rFonts w:ascii="宋体" w:hAnsi="宋体"/>
          <w:szCs w:val="24"/>
        </w:rPr>
        <w:t xml:space="preserve">#df -h </w:t>
      </w:r>
    </w:p>
    <w:p w14:paraId="3EC7626F">
      <w:pPr>
        <w:pStyle w:val="24"/>
        <w:ind w:firstLine="480"/>
        <w:rPr>
          <w:rFonts w:hint="eastAsia" w:ascii="宋体" w:hAnsi="宋体"/>
          <w:szCs w:val="24"/>
        </w:rPr>
      </w:pPr>
      <w:r>
        <w:rPr>
          <w:rFonts w:hint="eastAsia" w:ascii="宋体" w:hAnsi="宋体"/>
          <w:szCs w:val="24"/>
        </w:rPr>
        <w:t>5、检查系统运行情况</w:t>
      </w:r>
    </w:p>
    <w:p w14:paraId="02180C6D">
      <w:pPr>
        <w:pStyle w:val="24"/>
        <w:ind w:firstLine="480"/>
        <w:rPr>
          <w:rFonts w:hint="eastAsia" w:ascii="宋体" w:hAnsi="宋体"/>
          <w:szCs w:val="24"/>
        </w:rPr>
      </w:pPr>
      <w:r>
        <w:rPr>
          <w:rFonts w:ascii="宋体" w:hAnsi="宋体"/>
          <w:szCs w:val="24"/>
        </w:rPr>
        <w:t>#cat /var/log/messages</w:t>
      </w:r>
    </w:p>
    <w:p w14:paraId="6FA16BBD">
      <w:pPr>
        <w:pStyle w:val="4"/>
        <w:rPr>
          <w:rFonts w:hint="eastAsia"/>
        </w:rPr>
      </w:pPr>
      <w:bookmarkStart w:id="90" w:name="_Toc114580424"/>
      <w:r>
        <w:rPr>
          <w:rFonts w:hint="eastAsia"/>
        </w:rPr>
        <w:t>网络安全宣传周协助</w:t>
      </w:r>
      <w:bookmarkEnd w:id="90"/>
    </w:p>
    <w:p w14:paraId="1EAF3012">
      <w:pPr>
        <w:pStyle w:val="31"/>
        <w:spacing w:line="360" w:lineRule="auto"/>
        <w:ind w:firstLine="420" w:firstLineChars="0"/>
        <w:rPr>
          <w:rFonts w:hint="eastAsia" w:ascii="宋体" w:hAnsi="宋体"/>
          <w:sz w:val="24"/>
          <w:szCs w:val="24"/>
        </w:rPr>
      </w:pPr>
      <w:r>
        <w:rPr>
          <w:rFonts w:hint="eastAsia" w:ascii="宋体" w:hAnsi="宋体"/>
          <w:sz w:val="24"/>
          <w:szCs w:val="24"/>
        </w:rPr>
        <w:t>在网络安全宣传周期间，提供一次网络安全宣传活动，承担相关场地海报制作费用。</w:t>
      </w:r>
    </w:p>
    <w:p w14:paraId="41D3D710">
      <w:pPr>
        <w:pStyle w:val="4"/>
        <w:rPr>
          <w:rFonts w:hint="eastAsia"/>
        </w:rPr>
      </w:pPr>
      <w:bookmarkStart w:id="91" w:name="_Toc114580425"/>
      <w:r>
        <w:rPr>
          <w:rFonts w:hint="eastAsia"/>
        </w:rPr>
        <w:t>网络安全培训</w:t>
      </w:r>
      <w:bookmarkEnd w:id="91"/>
    </w:p>
    <w:p w14:paraId="76EE6750">
      <w:pPr>
        <w:ind w:firstLine="480" w:firstLineChars="200"/>
        <w:rPr>
          <w:rFonts w:hint="eastAsia" w:ascii="宋体" w:hAnsi="宋体" w:cs="宋体"/>
        </w:rPr>
      </w:pPr>
      <w:bookmarkStart w:id="92" w:name="OLE_LINK1"/>
      <w:bookmarkStart w:id="93" w:name="OLE_LINK2"/>
      <w:r>
        <w:rPr>
          <w:rFonts w:hint="eastAsia" w:ascii="宋体" w:hAnsi="宋体" w:eastAsia="宋体" w:cs="宋体"/>
        </w:rPr>
        <w:t>根据信息安全技术的发展和不同层面的信息安全人才需求，对我校师生进行相关网络安全知识培训，服务期内培训的次数不少于3次。</w:t>
      </w:r>
    </w:p>
    <w:bookmarkEnd w:id="92"/>
    <w:bookmarkEnd w:id="93"/>
    <w:p w14:paraId="32FE547C">
      <w:pPr>
        <w:pStyle w:val="4"/>
        <w:rPr>
          <w:rFonts w:hint="eastAsia"/>
        </w:rPr>
      </w:pPr>
      <w:bookmarkStart w:id="94" w:name="_Toc114580426"/>
      <w:r>
        <w:rPr>
          <w:rFonts w:hint="eastAsia"/>
        </w:rPr>
        <w:t>信息安全通报</w:t>
      </w:r>
      <w:bookmarkEnd w:id="94"/>
    </w:p>
    <w:p w14:paraId="61FBEC97">
      <w:pPr>
        <w:pStyle w:val="23"/>
        <w:spacing w:line="360" w:lineRule="auto"/>
        <w:ind w:left="420" w:firstLine="480" w:firstLineChars="200"/>
        <w:rPr>
          <w:rFonts w:hint="eastAsia" w:ascii="宋体" w:hAnsi="宋体"/>
          <w:sz w:val="24"/>
          <w:szCs w:val="24"/>
        </w:rPr>
      </w:pPr>
      <w:r>
        <w:rPr>
          <w:rFonts w:hint="eastAsia" w:ascii="宋体" w:hAnsi="宋体"/>
          <w:sz w:val="24"/>
          <w:szCs w:val="24"/>
        </w:rPr>
        <w:t>安全通告服务包括两类通告内容，分别为“安全漏洞通告”和“安全威胁通告”。针对特殊或突发情况，同时提供“紧急安全漏洞通告”和“紧急安全威胁通告”。</w:t>
      </w:r>
    </w:p>
    <w:p w14:paraId="18B04B01">
      <w:pPr>
        <w:pStyle w:val="23"/>
        <w:spacing w:line="360" w:lineRule="auto"/>
        <w:ind w:left="420" w:firstLine="480" w:firstLineChars="200"/>
        <w:rPr>
          <w:rFonts w:hint="eastAsia" w:ascii="宋体" w:hAnsi="宋体"/>
          <w:sz w:val="24"/>
          <w:szCs w:val="24"/>
        </w:rPr>
      </w:pPr>
      <w:r>
        <w:rPr>
          <w:rFonts w:hint="eastAsia" w:ascii="宋体" w:hAnsi="宋体"/>
          <w:sz w:val="24"/>
          <w:szCs w:val="24"/>
        </w:rPr>
        <w:t>安全通告提供最新安全漏洞、威胁（</w:t>
      </w:r>
      <w:r>
        <w:rPr>
          <w:rFonts w:ascii="宋体" w:hAnsi="宋体"/>
          <w:sz w:val="24"/>
          <w:szCs w:val="24"/>
        </w:rPr>
        <w:t>0day</w:t>
      </w:r>
      <w:r>
        <w:rPr>
          <w:rFonts w:hint="eastAsia" w:ascii="宋体" w:hAnsi="宋体"/>
          <w:sz w:val="24"/>
          <w:szCs w:val="24"/>
        </w:rPr>
        <w:t>、系统漏洞、网络攻击）的解决办法、安全问题描述和相应的处理意见，及时提供符合客户实际需求的安全信息。安全通告服务具体内容由以下模块组成：</w:t>
      </w:r>
    </w:p>
    <w:p w14:paraId="3E3A194A">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公告</w:t>
      </w:r>
      <w:r>
        <w:rPr>
          <w:rFonts w:ascii="宋体" w:hAnsi="宋体"/>
          <w:sz w:val="24"/>
          <w:szCs w:val="24"/>
        </w:rPr>
        <w:t>ID</w:t>
      </w:r>
      <w:r>
        <w:rPr>
          <w:rFonts w:hint="eastAsia" w:ascii="宋体" w:hAnsi="宋体"/>
          <w:sz w:val="24"/>
          <w:szCs w:val="24"/>
        </w:rPr>
        <w:t>：</w:t>
      </w:r>
      <w:r>
        <w:rPr>
          <w:rFonts w:ascii="宋体" w:hAnsi="宋体"/>
          <w:sz w:val="24"/>
          <w:szCs w:val="24"/>
        </w:rPr>
        <w:t>CVE</w:t>
      </w:r>
      <w:r>
        <w:rPr>
          <w:rFonts w:hint="eastAsia" w:ascii="宋体" w:hAnsi="宋体"/>
          <w:sz w:val="24"/>
          <w:szCs w:val="24"/>
        </w:rPr>
        <w:t>编号；</w:t>
      </w:r>
    </w:p>
    <w:p w14:paraId="55E90100">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公告标题：漏洞名称；</w:t>
      </w:r>
    </w:p>
    <w:p w14:paraId="66D84406">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厂商：漏洞涉及的厂商；</w:t>
      </w:r>
    </w:p>
    <w:p w14:paraId="11B69105">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发布时间：漏洞发布时间；</w:t>
      </w:r>
    </w:p>
    <w:p w14:paraId="23E62371">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受影响软件及系统：漏洞影响的软件及系统；</w:t>
      </w:r>
    </w:p>
    <w:p w14:paraId="4EEA697C">
      <w:pPr>
        <w:pStyle w:val="23"/>
        <w:numPr>
          <w:ilvl w:val="0"/>
          <w:numId w:val="9"/>
        </w:numPr>
        <w:spacing w:line="360" w:lineRule="auto"/>
        <w:ind w:left="980" w:hanging="560"/>
        <w:rPr>
          <w:rFonts w:hint="eastAsia" w:ascii="宋体" w:hAnsi="宋体"/>
          <w:sz w:val="24"/>
          <w:szCs w:val="24"/>
        </w:rPr>
      </w:pPr>
      <w:r>
        <w:rPr>
          <w:rFonts w:hint="eastAsia" w:ascii="宋体" w:hAnsi="宋体"/>
          <w:sz w:val="24"/>
          <w:szCs w:val="24"/>
        </w:rPr>
        <w:t>综述分析：对漏洞进行描述</w:t>
      </w:r>
      <w:r>
        <w:rPr>
          <w:rFonts w:ascii="宋体" w:hAnsi="宋体"/>
          <w:sz w:val="24"/>
          <w:szCs w:val="24"/>
        </w:rPr>
        <w:t>,</w:t>
      </w:r>
      <w:r>
        <w:rPr>
          <w:rFonts w:hint="eastAsia" w:ascii="宋体" w:hAnsi="宋体"/>
          <w:sz w:val="24"/>
          <w:szCs w:val="24"/>
        </w:rPr>
        <w:t>同时分析其造成影响的原因；</w:t>
      </w:r>
    </w:p>
    <w:p w14:paraId="11DDA62C">
      <w:pPr>
        <w:pStyle w:val="4"/>
        <w:rPr>
          <w:rFonts w:hint="eastAsia"/>
        </w:rPr>
      </w:pPr>
      <w:bookmarkStart w:id="95" w:name="_Toc114580427"/>
      <w:bookmarkStart w:id="96" w:name="_Toc597041410"/>
      <w:r>
        <w:rPr>
          <w:rFonts w:hint="eastAsia"/>
        </w:rPr>
        <w:t>协助</w:t>
      </w:r>
      <w:r>
        <w:t>安全加固</w:t>
      </w:r>
      <w:bookmarkEnd w:id="95"/>
      <w:bookmarkEnd w:id="96"/>
    </w:p>
    <w:p w14:paraId="7F3C9D94">
      <w:pPr>
        <w:pStyle w:val="24"/>
        <w:ind w:firstLine="480"/>
        <w:rPr>
          <w:rFonts w:hint="eastAsia" w:ascii="宋体" w:hAnsi="宋体"/>
          <w:szCs w:val="24"/>
        </w:rPr>
      </w:pPr>
      <w:bookmarkStart w:id="97" w:name="_Toc269300325"/>
      <w:bookmarkStart w:id="98" w:name="_Toc320715112"/>
      <w:bookmarkStart w:id="99" w:name="_Toc321830919"/>
      <w:bookmarkStart w:id="100" w:name="_Toc269300323"/>
      <w:r>
        <w:rPr>
          <w:rFonts w:hint="eastAsia" w:ascii="宋体" w:hAnsi="宋体"/>
          <w:szCs w:val="24"/>
        </w:rPr>
        <w:t>安全加固是对信息系统中的网络设备、操作系统及应用软件的脆弱性进行分析和修补的过程。</w:t>
      </w:r>
    </w:p>
    <w:p w14:paraId="53762E6D">
      <w:pPr>
        <w:pStyle w:val="24"/>
        <w:ind w:firstLine="480"/>
        <w:rPr>
          <w:rFonts w:hint="eastAsia" w:ascii="宋体" w:hAnsi="宋体"/>
          <w:szCs w:val="24"/>
        </w:rPr>
      </w:pPr>
      <w:r>
        <w:rPr>
          <w:rFonts w:hint="eastAsia" w:ascii="宋体" w:hAnsi="宋体"/>
          <w:szCs w:val="24"/>
        </w:rPr>
        <w:t>协助安全加固服务并非直接的服务过程，是在前期对系统进行</w:t>
      </w:r>
      <w:r>
        <w:rPr>
          <w:rFonts w:ascii="宋体" w:hAnsi="宋体"/>
          <w:szCs w:val="24"/>
        </w:rPr>
        <w:t>安全</w:t>
      </w:r>
      <w:r>
        <w:rPr>
          <w:rFonts w:hint="eastAsia" w:ascii="宋体" w:hAnsi="宋体"/>
          <w:szCs w:val="24"/>
        </w:rPr>
        <w:t>评估的基础</w:t>
      </w:r>
      <w:r>
        <w:rPr>
          <w:rFonts w:ascii="宋体" w:hAnsi="宋体"/>
          <w:szCs w:val="24"/>
        </w:rPr>
        <w:t>上</w:t>
      </w:r>
      <w:r>
        <w:rPr>
          <w:rFonts w:hint="eastAsia" w:ascii="宋体" w:hAnsi="宋体"/>
          <w:szCs w:val="24"/>
        </w:rPr>
        <w:t>，才可协助我校人员执行安全加固。</w:t>
      </w:r>
    </w:p>
    <w:p w14:paraId="77DFE895">
      <w:pPr>
        <w:pStyle w:val="24"/>
        <w:ind w:firstLine="480"/>
        <w:rPr>
          <w:rFonts w:hint="eastAsia" w:ascii="宋体" w:hAnsi="宋体"/>
          <w:szCs w:val="24"/>
        </w:rPr>
      </w:pPr>
      <w:r>
        <w:rPr>
          <w:rFonts w:hint="eastAsia" w:ascii="宋体" w:hAnsi="宋体"/>
          <w:szCs w:val="24"/>
        </w:rPr>
        <w:t>协助安全加固主要是提出加固建议，综合考虑实际情况针对不同的风险选择不同的策略。可协助安全加固内容如下：</w:t>
      </w:r>
    </w:p>
    <w:p w14:paraId="63EA85ED">
      <w:pPr>
        <w:pStyle w:val="5"/>
        <w:rPr>
          <w:rFonts w:hint="eastAsia"/>
        </w:rPr>
      </w:pPr>
      <w:bookmarkStart w:id="101" w:name="_Toc114580428"/>
      <w:r>
        <w:rPr>
          <w:rFonts w:hint="eastAsia"/>
        </w:rPr>
        <w:t>网络设备加固</w:t>
      </w:r>
      <w:bookmarkEnd w:id="97"/>
      <w:bookmarkEnd w:id="98"/>
      <w:bookmarkEnd w:id="99"/>
      <w:r>
        <w:rPr>
          <w:rFonts w:hint="eastAsia"/>
        </w:rPr>
        <w:t>内容</w:t>
      </w:r>
      <w:bookmarkEnd w:id="101"/>
    </w:p>
    <w:p w14:paraId="3720C138">
      <w:pPr>
        <w:pStyle w:val="24"/>
        <w:ind w:firstLine="480"/>
        <w:rPr>
          <w:rFonts w:hint="eastAsia" w:ascii="宋体" w:hAnsi="宋体"/>
          <w:szCs w:val="24"/>
        </w:rPr>
      </w:pPr>
      <w:r>
        <w:rPr>
          <w:rFonts w:hint="eastAsia" w:ascii="宋体" w:hAnsi="宋体"/>
          <w:szCs w:val="24"/>
        </w:rPr>
        <w:t>网络设备安全加固包含但不限于以下内容：</w:t>
      </w:r>
    </w:p>
    <w:p w14:paraId="7EA15F4D">
      <w:pPr>
        <w:pStyle w:val="24"/>
        <w:numPr>
          <w:ilvl w:val="0"/>
          <w:numId w:val="10"/>
        </w:numPr>
        <w:ind w:firstLineChars="0"/>
        <w:rPr>
          <w:rFonts w:hint="eastAsia" w:ascii="宋体" w:hAnsi="宋体"/>
          <w:szCs w:val="24"/>
        </w:rPr>
      </w:pPr>
      <w:r>
        <w:rPr>
          <w:rFonts w:ascii="宋体" w:hAnsi="宋体"/>
          <w:szCs w:val="24"/>
        </w:rPr>
        <w:t>OS</w:t>
      </w:r>
      <w:r>
        <w:rPr>
          <w:rFonts w:hint="eastAsia" w:ascii="宋体" w:hAnsi="宋体"/>
          <w:szCs w:val="24"/>
        </w:rPr>
        <w:t>升级</w:t>
      </w:r>
    </w:p>
    <w:p w14:paraId="0FD204A3">
      <w:pPr>
        <w:pStyle w:val="24"/>
        <w:numPr>
          <w:ilvl w:val="0"/>
          <w:numId w:val="10"/>
        </w:numPr>
        <w:ind w:firstLineChars="0"/>
        <w:rPr>
          <w:rFonts w:hint="eastAsia" w:ascii="宋体" w:hAnsi="宋体"/>
          <w:szCs w:val="24"/>
        </w:rPr>
      </w:pPr>
      <w:r>
        <w:rPr>
          <w:rFonts w:hint="eastAsia" w:ascii="宋体" w:hAnsi="宋体"/>
          <w:szCs w:val="24"/>
        </w:rPr>
        <w:t>帐号和口令管理</w:t>
      </w:r>
    </w:p>
    <w:p w14:paraId="070897D7">
      <w:pPr>
        <w:pStyle w:val="24"/>
        <w:numPr>
          <w:ilvl w:val="0"/>
          <w:numId w:val="10"/>
        </w:numPr>
        <w:ind w:firstLineChars="0"/>
        <w:rPr>
          <w:rFonts w:hint="eastAsia" w:ascii="宋体" w:hAnsi="宋体"/>
          <w:szCs w:val="24"/>
        </w:rPr>
      </w:pPr>
      <w:r>
        <w:rPr>
          <w:rFonts w:hint="eastAsia" w:ascii="宋体" w:hAnsi="宋体"/>
          <w:szCs w:val="24"/>
        </w:rPr>
        <w:t>认证和授权策略调整</w:t>
      </w:r>
    </w:p>
    <w:p w14:paraId="6FB5D68A">
      <w:pPr>
        <w:pStyle w:val="24"/>
        <w:numPr>
          <w:ilvl w:val="0"/>
          <w:numId w:val="10"/>
        </w:numPr>
        <w:ind w:firstLineChars="0"/>
        <w:rPr>
          <w:rFonts w:hint="eastAsia" w:ascii="宋体" w:hAnsi="宋体"/>
          <w:szCs w:val="24"/>
        </w:rPr>
      </w:pPr>
      <w:r>
        <w:rPr>
          <w:rFonts w:hint="eastAsia" w:ascii="宋体" w:hAnsi="宋体"/>
          <w:szCs w:val="24"/>
        </w:rPr>
        <w:t>网络与服务加固</w:t>
      </w:r>
    </w:p>
    <w:p w14:paraId="2DF45841">
      <w:pPr>
        <w:pStyle w:val="24"/>
        <w:numPr>
          <w:ilvl w:val="0"/>
          <w:numId w:val="10"/>
        </w:numPr>
        <w:ind w:firstLineChars="0"/>
        <w:rPr>
          <w:rFonts w:hint="eastAsia" w:ascii="宋体" w:hAnsi="宋体"/>
          <w:szCs w:val="24"/>
        </w:rPr>
      </w:pPr>
      <w:r>
        <w:rPr>
          <w:rFonts w:hint="eastAsia" w:ascii="宋体" w:hAnsi="宋体"/>
          <w:szCs w:val="24"/>
        </w:rPr>
        <w:t>访问控制策略增强</w:t>
      </w:r>
    </w:p>
    <w:p w14:paraId="11EA93A7">
      <w:pPr>
        <w:pStyle w:val="24"/>
        <w:numPr>
          <w:ilvl w:val="0"/>
          <w:numId w:val="10"/>
        </w:numPr>
        <w:ind w:firstLineChars="0"/>
        <w:rPr>
          <w:rFonts w:hint="eastAsia" w:ascii="宋体" w:hAnsi="宋体"/>
          <w:szCs w:val="24"/>
        </w:rPr>
      </w:pPr>
      <w:r>
        <w:rPr>
          <w:rFonts w:hint="eastAsia" w:ascii="宋体" w:hAnsi="宋体"/>
          <w:szCs w:val="24"/>
        </w:rPr>
        <w:t>通讯协议、路由协议加固</w:t>
      </w:r>
    </w:p>
    <w:p w14:paraId="6F2F1F91">
      <w:pPr>
        <w:pStyle w:val="24"/>
        <w:numPr>
          <w:ilvl w:val="0"/>
          <w:numId w:val="10"/>
        </w:numPr>
        <w:ind w:firstLineChars="0"/>
        <w:rPr>
          <w:rFonts w:hint="eastAsia" w:ascii="宋体" w:hAnsi="宋体"/>
          <w:szCs w:val="24"/>
        </w:rPr>
      </w:pPr>
      <w:r>
        <w:rPr>
          <w:rFonts w:hint="eastAsia" w:ascii="宋体" w:hAnsi="宋体"/>
          <w:szCs w:val="24"/>
        </w:rPr>
        <w:t>日志审核策略增强</w:t>
      </w:r>
    </w:p>
    <w:p w14:paraId="7DDAFCD3">
      <w:pPr>
        <w:pStyle w:val="24"/>
        <w:numPr>
          <w:ilvl w:val="0"/>
          <w:numId w:val="10"/>
        </w:numPr>
        <w:ind w:firstLineChars="0"/>
        <w:rPr>
          <w:rFonts w:hint="eastAsia" w:ascii="宋体" w:hAnsi="宋体"/>
          <w:szCs w:val="24"/>
        </w:rPr>
      </w:pPr>
      <w:r>
        <w:rPr>
          <w:rFonts w:hint="eastAsia" w:ascii="宋体" w:hAnsi="宋体"/>
          <w:szCs w:val="24"/>
        </w:rPr>
        <w:t>加密管理加固</w:t>
      </w:r>
    </w:p>
    <w:p w14:paraId="5522344B">
      <w:pPr>
        <w:pStyle w:val="24"/>
        <w:numPr>
          <w:ilvl w:val="0"/>
          <w:numId w:val="10"/>
        </w:numPr>
        <w:ind w:firstLineChars="0"/>
        <w:rPr>
          <w:rFonts w:hint="eastAsia" w:ascii="宋体" w:hAnsi="宋体"/>
          <w:szCs w:val="24"/>
        </w:rPr>
      </w:pPr>
      <w:r>
        <w:rPr>
          <w:rFonts w:hint="eastAsia" w:ascii="宋体" w:hAnsi="宋体"/>
          <w:szCs w:val="24"/>
        </w:rPr>
        <w:t>设备其他安全配置增强</w:t>
      </w:r>
    </w:p>
    <w:p w14:paraId="1C3D1503">
      <w:pPr>
        <w:pStyle w:val="24"/>
        <w:numPr>
          <w:ilvl w:val="0"/>
          <w:numId w:val="10"/>
        </w:numPr>
        <w:ind w:firstLineChars="0"/>
        <w:rPr>
          <w:rFonts w:hint="eastAsia" w:ascii="宋体" w:hAnsi="宋体"/>
          <w:szCs w:val="24"/>
        </w:rPr>
      </w:pPr>
      <w:r>
        <w:rPr>
          <w:rFonts w:hint="eastAsia" w:ascii="宋体" w:hAnsi="宋体"/>
          <w:szCs w:val="24"/>
        </w:rPr>
        <w:t>……</w:t>
      </w:r>
    </w:p>
    <w:p w14:paraId="6E5BDFEA">
      <w:pPr>
        <w:pStyle w:val="5"/>
        <w:rPr>
          <w:rFonts w:hint="eastAsia"/>
        </w:rPr>
      </w:pPr>
      <w:bookmarkStart w:id="102" w:name="_Toc114580429"/>
      <w:r>
        <w:rPr>
          <w:rFonts w:hint="eastAsia"/>
        </w:rPr>
        <w:t>主机操作系统加固</w:t>
      </w:r>
      <w:bookmarkEnd w:id="100"/>
      <w:r>
        <w:rPr>
          <w:rFonts w:hint="eastAsia"/>
        </w:rPr>
        <w:t>内容</w:t>
      </w:r>
      <w:bookmarkEnd w:id="102"/>
    </w:p>
    <w:p w14:paraId="55AA0D51">
      <w:pPr>
        <w:pStyle w:val="24"/>
        <w:ind w:firstLine="480"/>
        <w:rPr>
          <w:rFonts w:hint="eastAsia" w:ascii="宋体" w:hAnsi="宋体"/>
          <w:szCs w:val="24"/>
        </w:rPr>
      </w:pPr>
      <w:r>
        <w:rPr>
          <w:rFonts w:hint="eastAsia" w:ascii="宋体" w:hAnsi="宋体"/>
          <w:szCs w:val="24"/>
        </w:rPr>
        <w:t>主机操作系统安全加固包含但不限于以下内容：</w:t>
      </w:r>
    </w:p>
    <w:p w14:paraId="77CDB942">
      <w:pPr>
        <w:pStyle w:val="24"/>
        <w:numPr>
          <w:ilvl w:val="0"/>
          <w:numId w:val="10"/>
        </w:numPr>
        <w:ind w:firstLineChars="0"/>
        <w:rPr>
          <w:rFonts w:hint="eastAsia" w:ascii="宋体" w:hAnsi="宋体"/>
          <w:szCs w:val="24"/>
        </w:rPr>
      </w:pPr>
      <w:r>
        <w:rPr>
          <w:rFonts w:hint="eastAsia" w:ascii="宋体" w:hAnsi="宋体"/>
          <w:szCs w:val="24"/>
        </w:rPr>
        <w:t>系统漏洞补丁管理</w:t>
      </w:r>
    </w:p>
    <w:p w14:paraId="2A491B34">
      <w:pPr>
        <w:pStyle w:val="24"/>
        <w:numPr>
          <w:ilvl w:val="0"/>
          <w:numId w:val="10"/>
        </w:numPr>
        <w:ind w:firstLineChars="0"/>
        <w:rPr>
          <w:rFonts w:hint="eastAsia" w:ascii="宋体" w:hAnsi="宋体"/>
          <w:szCs w:val="24"/>
        </w:rPr>
      </w:pPr>
      <w:r>
        <w:rPr>
          <w:rFonts w:hint="eastAsia" w:ascii="宋体" w:hAnsi="宋体"/>
          <w:szCs w:val="24"/>
        </w:rPr>
        <w:t>帐号和口令管理</w:t>
      </w:r>
    </w:p>
    <w:p w14:paraId="51A5680A">
      <w:pPr>
        <w:pStyle w:val="24"/>
        <w:numPr>
          <w:ilvl w:val="0"/>
          <w:numId w:val="10"/>
        </w:numPr>
        <w:ind w:firstLineChars="0"/>
        <w:rPr>
          <w:rFonts w:hint="eastAsia" w:ascii="宋体" w:hAnsi="宋体"/>
          <w:szCs w:val="24"/>
        </w:rPr>
      </w:pPr>
      <w:r>
        <w:rPr>
          <w:rFonts w:hint="eastAsia" w:ascii="宋体" w:hAnsi="宋体"/>
          <w:szCs w:val="24"/>
        </w:rPr>
        <w:t>认证、授权策略调整</w:t>
      </w:r>
    </w:p>
    <w:p w14:paraId="519532C8">
      <w:pPr>
        <w:pStyle w:val="24"/>
        <w:numPr>
          <w:ilvl w:val="0"/>
          <w:numId w:val="10"/>
        </w:numPr>
        <w:ind w:firstLineChars="0"/>
        <w:rPr>
          <w:rFonts w:hint="eastAsia" w:ascii="宋体" w:hAnsi="宋体"/>
          <w:szCs w:val="24"/>
        </w:rPr>
      </w:pPr>
      <w:r>
        <w:rPr>
          <w:rFonts w:hint="eastAsia" w:ascii="宋体" w:hAnsi="宋体"/>
          <w:szCs w:val="24"/>
        </w:rPr>
        <w:t>网络与服务、进程和启动加固</w:t>
      </w:r>
    </w:p>
    <w:p w14:paraId="63C9F2C1">
      <w:pPr>
        <w:pStyle w:val="24"/>
        <w:numPr>
          <w:ilvl w:val="0"/>
          <w:numId w:val="10"/>
        </w:numPr>
        <w:ind w:firstLineChars="0"/>
        <w:rPr>
          <w:rFonts w:hint="eastAsia" w:ascii="宋体" w:hAnsi="宋体"/>
          <w:szCs w:val="24"/>
        </w:rPr>
      </w:pPr>
      <w:r>
        <w:rPr>
          <w:rFonts w:hint="eastAsia" w:ascii="宋体" w:hAnsi="宋体"/>
          <w:szCs w:val="24"/>
        </w:rPr>
        <w:t>文件系统权限增强</w:t>
      </w:r>
    </w:p>
    <w:p w14:paraId="5572B69F">
      <w:pPr>
        <w:pStyle w:val="24"/>
        <w:numPr>
          <w:ilvl w:val="0"/>
          <w:numId w:val="10"/>
        </w:numPr>
        <w:ind w:firstLineChars="0"/>
        <w:rPr>
          <w:rFonts w:hint="eastAsia" w:ascii="宋体" w:hAnsi="宋体"/>
          <w:szCs w:val="24"/>
        </w:rPr>
      </w:pPr>
      <w:r>
        <w:rPr>
          <w:rFonts w:hint="eastAsia" w:ascii="宋体" w:hAnsi="宋体"/>
          <w:szCs w:val="24"/>
        </w:rPr>
        <w:t>访问控制管理</w:t>
      </w:r>
    </w:p>
    <w:p w14:paraId="2CD4C9CE">
      <w:pPr>
        <w:pStyle w:val="24"/>
        <w:numPr>
          <w:ilvl w:val="0"/>
          <w:numId w:val="10"/>
        </w:numPr>
        <w:ind w:firstLineChars="0"/>
        <w:rPr>
          <w:rFonts w:hint="eastAsia" w:ascii="宋体" w:hAnsi="宋体"/>
          <w:szCs w:val="24"/>
        </w:rPr>
      </w:pPr>
      <w:r>
        <w:rPr>
          <w:rFonts w:hint="eastAsia" w:ascii="宋体" w:hAnsi="宋体"/>
          <w:szCs w:val="24"/>
        </w:rPr>
        <w:t>通讯协议加固</w:t>
      </w:r>
    </w:p>
    <w:p w14:paraId="7A4EA7B8">
      <w:pPr>
        <w:pStyle w:val="24"/>
        <w:numPr>
          <w:ilvl w:val="0"/>
          <w:numId w:val="10"/>
        </w:numPr>
        <w:ind w:firstLineChars="0"/>
        <w:rPr>
          <w:rFonts w:hint="eastAsia" w:ascii="宋体" w:hAnsi="宋体"/>
          <w:szCs w:val="24"/>
        </w:rPr>
      </w:pPr>
      <w:r>
        <w:rPr>
          <w:rFonts w:hint="eastAsia" w:ascii="宋体" w:hAnsi="宋体"/>
          <w:szCs w:val="24"/>
        </w:rPr>
        <w:t>日志审核功能增强</w:t>
      </w:r>
    </w:p>
    <w:p w14:paraId="36852D6A">
      <w:pPr>
        <w:pStyle w:val="24"/>
        <w:numPr>
          <w:ilvl w:val="0"/>
          <w:numId w:val="10"/>
        </w:numPr>
        <w:ind w:firstLineChars="0"/>
        <w:rPr>
          <w:rFonts w:hint="eastAsia" w:ascii="宋体" w:hAnsi="宋体"/>
          <w:szCs w:val="24"/>
        </w:rPr>
      </w:pPr>
      <w:r>
        <w:rPr>
          <w:rFonts w:hint="eastAsia" w:ascii="宋体" w:hAnsi="宋体"/>
          <w:szCs w:val="24"/>
        </w:rPr>
        <w:t>防</w:t>
      </w:r>
      <w:r>
        <w:rPr>
          <w:rFonts w:ascii="宋体" w:hAnsi="宋体"/>
          <w:szCs w:val="24"/>
        </w:rPr>
        <w:t>DDOS</w:t>
      </w:r>
      <w:r>
        <w:rPr>
          <w:rFonts w:hint="eastAsia" w:ascii="宋体" w:hAnsi="宋体"/>
          <w:szCs w:val="24"/>
        </w:rPr>
        <w:t>攻击增强</w:t>
      </w:r>
    </w:p>
    <w:p w14:paraId="2E2C00D1">
      <w:pPr>
        <w:pStyle w:val="24"/>
        <w:numPr>
          <w:ilvl w:val="0"/>
          <w:numId w:val="10"/>
        </w:numPr>
        <w:ind w:firstLineChars="0"/>
        <w:rPr>
          <w:rFonts w:hint="eastAsia" w:ascii="宋体" w:hAnsi="宋体"/>
          <w:szCs w:val="24"/>
        </w:rPr>
      </w:pPr>
      <w:r>
        <w:rPr>
          <w:rFonts w:hint="eastAsia" w:ascii="宋体" w:hAnsi="宋体"/>
          <w:szCs w:val="24"/>
        </w:rPr>
        <w:t>剩余信息保护</w:t>
      </w:r>
    </w:p>
    <w:p w14:paraId="69282C70">
      <w:pPr>
        <w:pStyle w:val="24"/>
        <w:numPr>
          <w:ilvl w:val="0"/>
          <w:numId w:val="10"/>
        </w:numPr>
        <w:ind w:firstLineChars="0"/>
        <w:rPr>
          <w:rFonts w:hint="eastAsia" w:ascii="宋体" w:hAnsi="宋体"/>
          <w:szCs w:val="24"/>
        </w:rPr>
      </w:pPr>
      <w:r>
        <w:rPr>
          <w:rFonts w:hint="eastAsia" w:ascii="宋体" w:hAnsi="宋体"/>
          <w:szCs w:val="24"/>
        </w:rPr>
        <w:t>其他安全配置增强</w:t>
      </w:r>
    </w:p>
    <w:p w14:paraId="453DAEB6">
      <w:pPr>
        <w:pStyle w:val="24"/>
        <w:numPr>
          <w:ilvl w:val="0"/>
          <w:numId w:val="10"/>
        </w:numPr>
        <w:ind w:firstLineChars="0"/>
        <w:rPr>
          <w:rFonts w:hint="eastAsia" w:ascii="宋体" w:hAnsi="宋体"/>
          <w:szCs w:val="24"/>
        </w:rPr>
      </w:pPr>
      <w:r>
        <w:rPr>
          <w:rFonts w:hint="eastAsia" w:ascii="宋体" w:hAnsi="宋体"/>
          <w:szCs w:val="24"/>
        </w:rPr>
        <w:t>……</w:t>
      </w:r>
    </w:p>
    <w:p w14:paraId="6A6456C7">
      <w:pPr>
        <w:pStyle w:val="5"/>
        <w:rPr>
          <w:rFonts w:hint="eastAsia"/>
        </w:rPr>
      </w:pPr>
      <w:bookmarkStart w:id="103" w:name="_Toc114580430"/>
      <w:r>
        <w:rPr>
          <w:rFonts w:hint="eastAsia"/>
        </w:rPr>
        <w:t>数据库加固内容</w:t>
      </w:r>
      <w:bookmarkEnd w:id="103"/>
    </w:p>
    <w:p w14:paraId="26620841">
      <w:pPr>
        <w:pStyle w:val="24"/>
        <w:ind w:firstLine="480"/>
        <w:rPr>
          <w:rFonts w:hint="eastAsia" w:ascii="宋体" w:hAnsi="宋体"/>
          <w:szCs w:val="24"/>
        </w:rPr>
      </w:pPr>
      <w:r>
        <w:rPr>
          <w:rFonts w:hint="eastAsia" w:ascii="宋体" w:hAnsi="宋体"/>
          <w:szCs w:val="24"/>
        </w:rPr>
        <w:t>数据库安全加固包含但不限于以下内容：</w:t>
      </w:r>
    </w:p>
    <w:p w14:paraId="19E37809">
      <w:pPr>
        <w:pStyle w:val="24"/>
        <w:numPr>
          <w:ilvl w:val="0"/>
          <w:numId w:val="10"/>
        </w:numPr>
        <w:ind w:firstLineChars="0"/>
        <w:rPr>
          <w:rFonts w:hint="eastAsia" w:ascii="宋体" w:hAnsi="宋体"/>
          <w:szCs w:val="24"/>
        </w:rPr>
      </w:pPr>
      <w:r>
        <w:rPr>
          <w:rFonts w:hint="eastAsia" w:ascii="宋体" w:hAnsi="宋体"/>
          <w:szCs w:val="24"/>
        </w:rPr>
        <w:t>漏洞补丁管理</w:t>
      </w:r>
    </w:p>
    <w:p w14:paraId="4680C39E">
      <w:pPr>
        <w:pStyle w:val="24"/>
        <w:numPr>
          <w:ilvl w:val="0"/>
          <w:numId w:val="10"/>
        </w:numPr>
        <w:ind w:firstLineChars="0"/>
        <w:rPr>
          <w:rFonts w:hint="eastAsia" w:ascii="宋体" w:hAnsi="宋体"/>
          <w:szCs w:val="24"/>
        </w:rPr>
      </w:pPr>
      <w:r>
        <w:rPr>
          <w:rFonts w:hint="eastAsia" w:ascii="宋体" w:hAnsi="宋体"/>
          <w:szCs w:val="24"/>
        </w:rPr>
        <w:t>帐号和口令管理</w:t>
      </w:r>
    </w:p>
    <w:p w14:paraId="54DD4FC6">
      <w:pPr>
        <w:pStyle w:val="24"/>
        <w:numPr>
          <w:ilvl w:val="0"/>
          <w:numId w:val="10"/>
        </w:numPr>
        <w:ind w:firstLineChars="0"/>
        <w:rPr>
          <w:rFonts w:hint="eastAsia" w:ascii="宋体" w:hAnsi="宋体"/>
          <w:szCs w:val="24"/>
        </w:rPr>
      </w:pPr>
      <w:r>
        <w:rPr>
          <w:rFonts w:hint="eastAsia" w:ascii="宋体" w:hAnsi="宋体"/>
          <w:szCs w:val="24"/>
        </w:rPr>
        <w:t>认证、授权策略调整</w:t>
      </w:r>
    </w:p>
    <w:p w14:paraId="494A54CB">
      <w:pPr>
        <w:pStyle w:val="24"/>
        <w:numPr>
          <w:ilvl w:val="0"/>
          <w:numId w:val="10"/>
        </w:numPr>
        <w:ind w:firstLineChars="0"/>
        <w:rPr>
          <w:rFonts w:hint="eastAsia" w:ascii="宋体" w:hAnsi="宋体"/>
          <w:szCs w:val="24"/>
        </w:rPr>
      </w:pPr>
      <w:r>
        <w:rPr>
          <w:rFonts w:hint="eastAsia" w:ascii="宋体" w:hAnsi="宋体"/>
          <w:szCs w:val="24"/>
        </w:rPr>
        <w:t>访问控制管理</w:t>
      </w:r>
    </w:p>
    <w:p w14:paraId="43A3BEDF">
      <w:pPr>
        <w:pStyle w:val="24"/>
        <w:numPr>
          <w:ilvl w:val="0"/>
          <w:numId w:val="10"/>
        </w:numPr>
        <w:ind w:firstLineChars="0"/>
        <w:rPr>
          <w:rFonts w:hint="eastAsia" w:ascii="宋体" w:hAnsi="宋体"/>
          <w:szCs w:val="24"/>
        </w:rPr>
      </w:pPr>
      <w:r>
        <w:rPr>
          <w:rFonts w:hint="eastAsia" w:ascii="宋体" w:hAnsi="宋体"/>
          <w:szCs w:val="24"/>
        </w:rPr>
        <w:t>通讯协议加固</w:t>
      </w:r>
    </w:p>
    <w:p w14:paraId="7BDE43A8">
      <w:pPr>
        <w:pStyle w:val="24"/>
        <w:numPr>
          <w:ilvl w:val="0"/>
          <w:numId w:val="10"/>
        </w:numPr>
        <w:ind w:firstLineChars="0"/>
        <w:rPr>
          <w:rFonts w:hint="eastAsia" w:ascii="宋体" w:hAnsi="宋体"/>
          <w:szCs w:val="24"/>
        </w:rPr>
      </w:pPr>
      <w:r>
        <w:rPr>
          <w:rFonts w:hint="eastAsia" w:ascii="宋体" w:hAnsi="宋体"/>
          <w:szCs w:val="24"/>
        </w:rPr>
        <w:t>日志审核功能增强</w:t>
      </w:r>
    </w:p>
    <w:p w14:paraId="18D66B49">
      <w:pPr>
        <w:pStyle w:val="24"/>
        <w:numPr>
          <w:ilvl w:val="0"/>
          <w:numId w:val="10"/>
        </w:numPr>
        <w:ind w:firstLineChars="0"/>
        <w:rPr>
          <w:rFonts w:hint="eastAsia" w:ascii="宋体" w:hAnsi="宋体"/>
          <w:szCs w:val="24"/>
        </w:rPr>
      </w:pPr>
      <w:r>
        <w:rPr>
          <w:rFonts w:hint="eastAsia" w:ascii="宋体" w:hAnsi="宋体"/>
          <w:szCs w:val="24"/>
        </w:rPr>
        <w:t>其他安全配置增强</w:t>
      </w:r>
    </w:p>
    <w:p w14:paraId="74DE8EAE">
      <w:pPr>
        <w:pStyle w:val="24"/>
        <w:numPr>
          <w:ilvl w:val="0"/>
          <w:numId w:val="10"/>
        </w:numPr>
        <w:ind w:firstLineChars="0"/>
        <w:rPr>
          <w:rFonts w:hint="eastAsia" w:ascii="宋体" w:hAnsi="宋体"/>
          <w:szCs w:val="24"/>
        </w:rPr>
      </w:pPr>
      <w:r>
        <w:rPr>
          <w:rFonts w:hint="eastAsia" w:ascii="宋体" w:hAnsi="宋体"/>
          <w:szCs w:val="24"/>
        </w:rPr>
        <w:t>……</w:t>
      </w:r>
    </w:p>
    <w:p w14:paraId="1914AE23">
      <w:pPr>
        <w:pStyle w:val="5"/>
        <w:rPr>
          <w:rFonts w:hint="eastAsia"/>
        </w:rPr>
      </w:pPr>
      <w:bookmarkStart w:id="104" w:name="_Toc114580431"/>
      <w:r>
        <w:rPr>
          <w:rFonts w:hint="eastAsia"/>
        </w:rPr>
        <w:t>中间件及常见网络服务加固内容</w:t>
      </w:r>
      <w:bookmarkEnd w:id="104"/>
    </w:p>
    <w:p w14:paraId="4969312F">
      <w:pPr>
        <w:pStyle w:val="24"/>
        <w:ind w:firstLine="480"/>
        <w:rPr>
          <w:rFonts w:hint="eastAsia" w:ascii="宋体" w:hAnsi="宋体"/>
          <w:szCs w:val="24"/>
        </w:rPr>
      </w:pPr>
      <w:r>
        <w:rPr>
          <w:rFonts w:hint="eastAsia" w:ascii="宋体" w:hAnsi="宋体"/>
          <w:szCs w:val="24"/>
        </w:rPr>
        <w:t>中间件及常见网络服务安全加固包含但不限于以下内容：</w:t>
      </w:r>
    </w:p>
    <w:p w14:paraId="6390A1F4">
      <w:pPr>
        <w:pStyle w:val="24"/>
        <w:numPr>
          <w:ilvl w:val="0"/>
          <w:numId w:val="10"/>
        </w:numPr>
        <w:ind w:firstLineChars="0"/>
        <w:rPr>
          <w:rFonts w:hint="eastAsia" w:ascii="宋体" w:hAnsi="宋体"/>
          <w:szCs w:val="24"/>
        </w:rPr>
      </w:pPr>
      <w:r>
        <w:rPr>
          <w:rFonts w:hint="eastAsia" w:ascii="宋体" w:hAnsi="宋体"/>
          <w:szCs w:val="24"/>
        </w:rPr>
        <w:t>漏洞补丁管理</w:t>
      </w:r>
    </w:p>
    <w:p w14:paraId="3EA1EB3A">
      <w:pPr>
        <w:pStyle w:val="24"/>
        <w:numPr>
          <w:ilvl w:val="0"/>
          <w:numId w:val="10"/>
        </w:numPr>
        <w:ind w:firstLineChars="0"/>
        <w:rPr>
          <w:rFonts w:hint="eastAsia" w:ascii="宋体" w:hAnsi="宋体"/>
          <w:szCs w:val="24"/>
        </w:rPr>
      </w:pPr>
      <w:r>
        <w:rPr>
          <w:rFonts w:hint="eastAsia" w:ascii="宋体" w:hAnsi="宋体"/>
          <w:szCs w:val="24"/>
        </w:rPr>
        <w:t>帐号和口令管理</w:t>
      </w:r>
    </w:p>
    <w:p w14:paraId="64C9E4E3">
      <w:pPr>
        <w:pStyle w:val="24"/>
        <w:numPr>
          <w:ilvl w:val="0"/>
          <w:numId w:val="10"/>
        </w:numPr>
        <w:ind w:firstLineChars="0"/>
        <w:rPr>
          <w:rFonts w:hint="eastAsia" w:ascii="宋体" w:hAnsi="宋体"/>
          <w:szCs w:val="24"/>
        </w:rPr>
      </w:pPr>
      <w:r>
        <w:rPr>
          <w:rFonts w:hint="eastAsia" w:ascii="宋体" w:hAnsi="宋体"/>
          <w:szCs w:val="24"/>
        </w:rPr>
        <w:t>认证、授权策略调整</w:t>
      </w:r>
    </w:p>
    <w:p w14:paraId="305EC9FC">
      <w:pPr>
        <w:pStyle w:val="24"/>
        <w:numPr>
          <w:ilvl w:val="0"/>
          <w:numId w:val="10"/>
        </w:numPr>
        <w:ind w:firstLineChars="0"/>
        <w:rPr>
          <w:rFonts w:hint="eastAsia" w:ascii="宋体" w:hAnsi="宋体"/>
          <w:szCs w:val="24"/>
        </w:rPr>
      </w:pPr>
      <w:r>
        <w:rPr>
          <w:rFonts w:hint="eastAsia" w:ascii="宋体" w:hAnsi="宋体"/>
          <w:szCs w:val="24"/>
        </w:rPr>
        <w:t>通讯协议加固</w:t>
      </w:r>
    </w:p>
    <w:p w14:paraId="3F778324">
      <w:pPr>
        <w:pStyle w:val="24"/>
        <w:numPr>
          <w:ilvl w:val="0"/>
          <w:numId w:val="10"/>
        </w:numPr>
        <w:ind w:firstLineChars="0"/>
        <w:rPr>
          <w:rFonts w:hint="eastAsia" w:ascii="宋体" w:hAnsi="宋体"/>
          <w:szCs w:val="24"/>
        </w:rPr>
      </w:pPr>
      <w:r>
        <w:rPr>
          <w:rFonts w:hint="eastAsia" w:ascii="宋体" w:hAnsi="宋体"/>
          <w:szCs w:val="24"/>
        </w:rPr>
        <w:t>日志审核功能增强</w:t>
      </w:r>
    </w:p>
    <w:p w14:paraId="66EED790">
      <w:pPr>
        <w:pStyle w:val="24"/>
        <w:numPr>
          <w:ilvl w:val="0"/>
          <w:numId w:val="10"/>
        </w:numPr>
        <w:ind w:firstLineChars="0"/>
        <w:rPr>
          <w:rFonts w:hint="eastAsia" w:ascii="宋体" w:hAnsi="宋体"/>
          <w:szCs w:val="24"/>
        </w:rPr>
      </w:pPr>
      <w:r>
        <w:rPr>
          <w:rFonts w:hint="eastAsia" w:ascii="宋体" w:hAnsi="宋体"/>
          <w:szCs w:val="24"/>
        </w:rPr>
        <w:t>其他安全配置增强</w:t>
      </w:r>
    </w:p>
    <w:p w14:paraId="73D0A732">
      <w:pPr>
        <w:pStyle w:val="24"/>
        <w:numPr>
          <w:ilvl w:val="0"/>
          <w:numId w:val="10"/>
        </w:numPr>
        <w:ind w:firstLineChars="0"/>
        <w:rPr>
          <w:rFonts w:hint="eastAsia" w:ascii="宋体" w:hAnsi="宋体"/>
          <w:szCs w:val="24"/>
        </w:rPr>
      </w:pPr>
      <w:r>
        <w:rPr>
          <w:rFonts w:hint="eastAsia" w:ascii="宋体" w:hAnsi="宋体"/>
          <w:szCs w:val="24"/>
        </w:rPr>
        <w:t>……</w:t>
      </w:r>
    </w:p>
    <w:p w14:paraId="26AB1AFB">
      <w:pPr>
        <w:pStyle w:val="3"/>
        <w:rPr>
          <w:rFonts w:hint="eastAsia"/>
        </w:rPr>
      </w:pPr>
      <w:bookmarkStart w:id="105" w:name="_Toc179986459"/>
      <w:bookmarkStart w:id="106" w:name="_Toc1431379086"/>
      <w:bookmarkStart w:id="107" w:name="_Toc114580432"/>
      <w:r>
        <w:rPr>
          <w:rFonts w:hint="eastAsia"/>
        </w:rPr>
        <w:t>特殊时期保障服务</w:t>
      </w:r>
      <w:bookmarkEnd w:id="105"/>
      <w:bookmarkEnd w:id="106"/>
      <w:bookmarkEnd w:id="107"/>
    </w:p>
    <w:p w14:paraId="0D36E5BB">
      <w:pPr>
        <w:pStyle w:val="4"/>
        <w:rPr>
          <w:rFonts w:hint="eastAsia"/>
        </w:rPr>
      </w:pPr>
      <w:bookmarkStart w:id="108" w:name="_Toc114580433"/>
      <w:bookmarkStart w:id="109" w:name="_Toc1076484708"/>
      <w:r>
        <w:rPr>
          <w:rFonts w:hint="eastAsia"/>
        </w:rPr>
        <w:t>攻防演练防守服务</w:t>
      </w:r>
      <w:bookmarkEnd w:id="108"/>
      <w:bookmarkEnd w:id="109"/>
    </w:p>
    <w:p w14:paraId="0E17E28C">
      <w:pPr>
        <w:pStyle w:val="22"/>
        <w:spacing w:line="360" w:lineRule="auto"/>
        <w:ind w:firstLine="480" w:firstLineChars="200"/>
        <w:rPr>
          <w:rFonts w:hint="eastAsia" w:ascii="宋体" w:hAnsi="宋体"/>
          <w:sz w:val="24"/>
          <w:szCs w:val="24"/>
        </w:rPr>
      </w:pPr>
      <w:r>
        <w:rPr>
          <w:rFonts w:hint="eastAsia" w:ascii="宋体" w:hAnsi="宋体"/>
          <w:sz w:val="24"/>
          <w:szCs w:val="24"/>
        </w:rPr>
        <w:t>攻防演练防守服务，即在攻防演练行动期间进行企业网络安全监测和应急保障工作，及时发现安全事件并向各防护单位预警和确认，确保企业各系统安全稳定运行。同时召开动员部署会明确人员保障工作职责和任务，编写攻防演练行动保障方案。</w:t>
      </w:r>
    </w:p>
    <w:p w14:paraId="455ABD65">
      <w:pPr>
        <w:pStyle w:val="22"/>
        <w:spacing w:line="360" w:lineRule="auto"/>
        <w:ind w:firstLine="480" w:firstLineChars="200"/>
        <w:jc w:val="both"/>
        <w:rPr>
          <w:rFonts w:hint="eastAsia" w:ascii="宋体" w:hAnsi="宋体"/>
          <w:sz w:val="24"/>
          <w:szCs w:val="24"/>
        </w:rPr>
      </w:pPr>
      <w:r>
        <w:rPr>
          <w:rFonts w:hint="eastAsia" w:ascii="宋体" w:hAnsi="宋体"/>
          <w:sz w:val="24"/>
          <w:szCs w:val="24"/>
        </w:rPr>
        <w:t>在攻防演练行动期间，执行对所有业务支持系统及门户网站的7*24小时安全监控，重点监控影响到系统稳定安全运行的重点安全事件的发生，包括安全攻击（重点包括WEB攻击、恶意木马、病毒攻击等）、关键敏感数据泄露等，</w:t>
      </w:r>
      <w:r>
        <w:rPr>
          <w:rFonts w:ascii="宋体" w:hAnsi="宋体"/>
          <w:sz w:val="24"/>
          <w:szCs w:val="24"/>
        </w:rPr>
        <w:t>并</w:t>
      </w:r>
      <w:r>
        <w:rPr>
          <w:rFonts w:hint="eastAsia" w:ascii="宋体" w:hAnsi="宋体"/>
          <w:sz w:val="24"/>
          <w:szCs w:val="24"/>
        </w:rPr>
        <w:t>提供安全事件分析、处置、溯源技术保障，在任一系统任一安全隐患发生时，及时启动响应的应急预案。具体工作如下：</w:t>
      </w:r>
    </w:p>
    <w:p w14:paraId="4520AFCC">
      <w:pPr>
        <w:pStyle w:val="22"/>
        <w:numPr>
          <w:ilvl w:val="0"/>
          <w:numId w:val="11"/>
        </w:numPr>
        <w:spacing w:line="360" w:lineRule="auto"/>
        <w:ind w:left="480" w:leftChars="200"/>
        <w:jc w:val="both"/>
        <w:rPr>
          <w:rFonts w:hint="eastAsia" w:ascii="宋体" w:hAnsi="宋体"/>
          <w:sz w:val="24"/>
          <w:szCs w:val="24"/>
        </w:rPr>
      </w:pPr>
      <w:r>
        <w:rPr>
          <w:rFonts w:ascii="宋体" w:hAnsi="宋体"/>
          <w:sz w:val="24"/>
          <w:szCs w:val="24"/>
        </w:rPr>
        <w:t>建立攻防演练专项行动指挥、保障团队</w:t>
      </w:r>
      <w:r>
        <w:rPr>
          <w:rFonts w:hint="eastAsia" w:ascii="宋体" w:hAnsi="宋体"/>
          <w:sz w:val="24"/>
          <w:szCs w:val="24"/>
        </w:rPr>
        <w:t>；</w:t>
      </w:r>
    </w:p>
    <w:p w14:paraId="1204F25D">
      <w:pPr>
        <w:pStyle w:val="22"/>
        <w:numPr>
          <w:ilvl w:val="0"/>
          <w:numId w:val="11"/>
        </w:numPr>
        <w:spacing w:line="360" w:lineRule="auto"/>
        <w:ind w:left="480" w:leftChars="200"/>
        <w:jc w:val="both"/>
        <w:rPr>
          <w:rFonts w:hint="eastAsia" w:ascii="宋体" w:hAnsi="宋体"/>
          <w:sz w:val="24"/>
          <w:szCs w:val="24"/>
        </w:rPr>
      </w:pPr>
      <w:r>
        <w:rPr>
          <w:rFonts w:ascii="宋体" w:hAnsi="宋体"/>
          <w:sz w:val="24"/>
          <w:szCs w:val="24"/>
        </w:rPr>
        <w:t>加强关键信息基础设施的防护和监测预警能力</w:t>
      </w:r>
      <w:r>
        <w:rPr>
          <w:rFonts w:hint="eastAsia" w:ascii="宋体" w:hAnsi="宋体"/>
          <w:sz w:val="24"/>
          <w:szCs w:val="24"/>
        </w:rPr>
        <w:t>；</w:t>
      </w:r>
    </w:p>
    <w:p w14:paraId="62D297AD">
      <w:pPr>
        <w:pStyle w:val="22"/>
        <w:numPr>
          <w:ilvl w:val="0"/>
          <w:numId w:val="11"/>
        </w:numPr>
        <w:spacing w:line="360" w:lineRule="auto"/>
        <w:ind w:left="480" w:leftChars="200"/>
        <w:jc w:val="both"/>
        <w:rPr>
          <w:rFonts w:hint="eastAsia" w:ascii="宋体" w:hAnsi="宋体"/>
          <w:sz w:val="24"/>
          <w:szCs w:val="24"/>
        </w:rPr>
      </w:pPr>
      <w:r>
        <w:rPr>
          <w:rFonts w:ascii="宋体" w:hAnsi="宋体"/>
          <w:sz w:val="24"/>
          <w:szCs w:val="24"/>
        </w:rPr>
        <w:t>通过演练以攻促防，检验并完善安全防护与监测机制</w:t>
      </w:r>
      <w:r>
        <w:rPr>
          <w:rFonts w:hint="eastAsia" w:ascii="宋体" w:hAnsi="宋体"/>
          <w:sz w:val="24"/>
          <w:szCs w:val="24"/>
        </w:rPr>
        <w:t>；</w:t>
      </w:r>
    </w:p>
    <w:p w14:paraId="4411A309">
      <w:pPr>
        <w:pStyle w:val="22"/>
        <w:numPr>
          <w:ilvl w:val="0"/>
          <w:numId w:val="11"/>
        </w:numPr>
        <w:spacing w:line="360" w:lineRule="auto"/>
        <w:ind w:left="480" w:leftChars="200"/>
        <w:jc w:val="both"/>
        <w:rPr>
          <w:rFonts w:hint="eastAsia" w:ascii="宋体" w:hAnsi="宋体"/>
          <w:sz w:val="24"/>
          <w:szCs w:val="24"/>
        </w:rPr>
      </w:pPr>
      <w:r>
        <w:rPr>
          <w:rFonts w:ascii="宋体" w:hAnsi="宋体"/>
          <w:sz w:val="24"/>
          <w:szCs w:val="24"/>
        </w:rPr>
        <w:t>高效完成监测分析、保障及时事件上报</w:t>
      </w:r>
      <w:r>
        <w:rPr>
          <w:rFonts w:hint="eastAsia" w:ascii="宋体" w:hAnsi="宋体"/>
          <w:sz w:val="24"/>
          <w:szCs w:val="24"/>
        </w:rPr>
        <w:t>；</w:t>
      </w:r>
    </w:p>
    <w:p w14:paraId="73A86C47">
      <w:pPr>
        <w:pStyle w:val="37"/>
        <w:numPr>
          <w:ilvl w:val="0"/>
          <w:numId w:val="11"/>
        </w:numPr>
        <w:ind w:firstLineChars="0"/>
        <w:rPr>
          <w:rFonts w:eastAsia="宋体" w:cs="Times New Roman"/>
          <w:kern w:val="0"/>
        </w:rPr>
      </w:pPr>
      <w:r>
        <w:t>发现不足、吸收经验、归类总结，</w:t>
      </w:r>
      <w:r>
        <w:rPr>
          <w:rFonts w:hint="eastAsia"/>
        </w:rPr>
        <w:t>整理</w:t>
      </w:r>
      <w:r>
        <w:rPr>
          <w:rFonts w:hint="eastAsia" w:eastAsia="宋体" w:cs="Times New Roman"/>
          <w:kern w:val="0"/>
        </w:rPr>
        <w:t>输出《攻防演练防守报告》，</w:t>
      </w:r>
      <w:r>
        <w:t>持续优化信息安全工作</w:t>
      </w:r>
      <w:r>
        <w:rPr>
          <w:rFonts w:hint="eastAsia"/>
        </w:rPr>
        <w:t>。</w:t>
      </w:r>
    </w:p>
    <w:p w14:paraId="1F4EE218">
      <w:pPr>
        <w:pStyle w:val="4"/>
        <w:rPr>
          <w:rFonts w:hint="eastAsia"/>
        </w:rPr>
      </w:pPr>
      <w:bookmarkStart w:id="110" w:name="_Toc114580434"/>
      <w:bookmarkStart w:id="111" w:name="_Toc2076245028"/>
      <w:r>
        <w:rPr>
          <w:rFonts w:hint="eastAsia"/>
        </w:rPr>
        <w:t>重要时期值守服务</w:t>
      </w:r>
      <w:bookmarkEnd w:id="110"/>
      <w:bookmarkEnd w:id="111"/>
    </w:p>
    <w:p w14:paraId="304487C3">
      <w:pPr>
        <w:pStyle w:val="31"/>
        <w:spacing w:line="360" w:lineRule="auto"/>
        <w:ind w:firstLine="480"/>
        <w:rPr>
          <w:rFonts w:hint="eastAsia" w:ascii="宋体" w:hAnsi="宋体"/>
          <w:sz w:val="24"/>
          <w:szCs w:val="24"/>
        </w:rPr>
      </w:pPr>
      <w:r>
        <w:rPr>
          <w:rFonts w:hint="eastAsia" w:ascii="宋体" w:hAnsi="宋体"/>
          <w:sz w:val="24"/>
          <w:szCs w:val="24"/>
        </w:rPr>
        <w:t>重要时期主要指国家、政府或企事业单位及商业社会团体需要经历的，具有重大政治、经济影响的一段时间。在此期间，信息安全责任单位或部门必须防范重大网络安全事件的发生，保证学校重要信息系统的安全稳定运行，以保障业务单位或部门更好的完成既定的战略或战术目标。</w:t>
      </w:r>
    </w:p>
    <w:p w14:paraId="501923E6">
      <w:pPr>
        <w:pStyle w:val="31"/>
        <w:spacing w:line="360" w:lineRule="auto"/>
        <w:ind w:firstLine="480"/>
        <w:rPr>
          <w:rFonts w:hint="eastAsia" w:ascii="宋体" w:hAnsi="宋体"/>
          <w:sz w:val="24"/>
          <w:szCs w:val="24"/>
        </w:rPr>
      </w:pPr>
      <w:r>
        <w:rPr>
          <w:rFonts w:hint="eastAsia" w:ascii="宋体" w:hAnsi="宋体"/>
          <w:sz w:val="24"/>
          <w:szCs w:val="24"/>
        </w:rPr>
        <w:t>重保网站安全监测：对互联网重要信息系统进行监控值守保障。</w:t>
      </w:r>
    </w:p>
    <w:p w14:paraId="6F830325">
      <w:pPr>
        <w:pStyle w:val="5"/>
        <w:rPr>
          <w:rFonts w:hint="eastAsia"/>
        </w:rPr>
      </w:pPr>
      <w:bookmarkStart w:id="112" w:name="_Toc114580435"/>
      <w:r>
        <w:rPr>
          <w:rFonts w:hint="eastAsia"/>
        </w:rPr>
        <w:t>重保现场值守</w:t>
      </w:r>
      <w:bookmarkEnd w:id="112"/>
    </w:p>
    <w:p w14:paraId="101CA56B">
      <w:r>
        <w:rPr>
          <w:rFonts w:hint="eastAsia"/>
        </w:rPr>
        <w:t>重要时期主要指国家、政府或企事业单位及商业社会团体需要经历的，具有重大政治、经济影响的一段时间。在此期间，信息安全责任单位或部门必须防范重大网络安全事件的发生，保证企业或公司重要信息系统的安全稳定运行，以保障业务单位或部门更好的完成既定的战略或战术目标。现场值守保障将指派安全技术人员到客户指定场所为现场办公地点进行值守保障。</w:t>
      </w:r>
    </w:p>
    <w:p w14:paraId="3602C0D4">
      <w:r>
        <w:rPr>
          <w:rFonts w:hint="eastAsia"/>
        </w:rPr>
        <w:t>本次现场值守服务将提供为期1</w:t>
      </w:r>
      <w:r>
        <w:t>0</w:t>
      </w:r>
      <w:r>
        <w:rPr>
          <w:rFonts w:hint="eastAsia"/>
        </w:rPr>
        <w:t>天的7*</w:t>
      </w:r>
      <w:r>
        <w:t>8</w:t>
      </w:r>
      <w:r>
        <w:rPr>
          <w:rFonts w:hint="eastAsia"/>
        </w:rPr>
        <w:t>现场安全值守，进行安全保障值守服务，工作内容主要包括通过安全设备实时监控安全风险，对已经识别的安全事件，进行阻断，对安全事件进行应急处置，对攻击行为进行追踪溯源。</w:t>
      </w:r>
    </w:p>
    <w:p w14:paraId="22AC5F62">
      <w:pPr>
        <w:pStyle w:val="5"/>
        <w:rPr>
          <w:rFonts w:hint="eastAsia"/>
          <w:lang w:eastAsia="zh-Hans"/>
        </w:rPr>
      </w:pPr>
      <w:r>
        <w:rPr>
          <w:rFonts w:hint="eastAsia"/>
        </w:rPr>
        <w:t>威胁检测与响应运营服务</w:t>
      </w:r>
      <w:bookmarkEnd w:id="17"/>
    </w:p>
    <w:p w14:paraId="49D3E853">
      <w:pPr>
        <w:pStyle w:val="8"/>
      </w:pPr>
      <w:r>
        <w:rPr>
          <w:rFonts w:hint="eastAsia"/>
        </w:rPr>
        <w:t>持续性威胁管理（MDR）服务，包括威胁监测、事件分析与处置等服务内容，在我校网络内部署安全运营服务平台，在满足原始安全数据不离场的情况下，分析师使用项目现场部署的安全运营服务平台与安全探针结合现有安全设备开展各项监测、分析、梳理及验证操作，所有服务成果数据在现场安全运营服务平台中流转。安全分析全年实时处置告警信息，确诊安全事件，理清事件损害范围，判定安全防护措施有效性，所有告警、安全事件在安全运营服务平台中建立完整档案进行管理。</w:t>
      </w:r>
    </w:p>
    <w:bookmarkEnd w:id="18"/>
    <w:bookmarkEnd w:id="19"/>
    <w:bookmarkEnd w:id="20"/>
    <w:bookmarkEnd w:id="21"/>
    <w:bookmarkEnd w:id="22"/>
    <w:bookmarkEnd w:id="23"/>
    <w:bookmarkEnd w:id="24"/>
    <w:bookmarkEnd w:id="25"/>
    <w:bookmarkEnd w:id="26"/>
    <w:bookmarkEnd w:id="27"/>
    <w:p w14:paraId="61849B0E">
      <w:pPr>
        <w:pStyle w:val="5"/>
        <w:rPr>
          <w:rFonts w:hint="eastAsia"/>
        </w:rPr>
      </w:pPr>
      <w:bookmarkStart w:id="113" w:name="_Toc939496582"/>
      <w:r>
        <w:rPr>
          <w:rFonts w:hint="eastAsia"/>
        </w:rPr>
        <w:t>互联网暴露面管理服务</w:t>
      </w:r>
      <w:bookmarkEnd w:id="113"/>
    </w:p>
    <w:p w14:paraId="373D5F4C">
      <w:pPr>
        <w:pStyle w:val="6"/>
        <w:rPr>
          <w:rFonts w:hint="eastAsia"/>
        </w:rPr>
      </w:pPr>
      <w:r>
        <w:rPr>
          <w:rFonts w:hint="eastAsia"/>
        </w:rPr>
        <w:t>互联网安全敏感信息监测</w:t>
      </w:r>
    </w:p>
    <w:p w14:paraId="487DC013">
      <w:pPr>
        <w:pStyle w:val="8"/>
      </w:pPr>
      <w:r>
        <w:rPr>
          <w:rFonts w:hint="eastAsia"/>
        </w:rPr>
        <w:t>对互联网侧暴露的敏感信息进行探测，建立一整套覆盖百度文库、github、gitee、公众号、小程序、App等渠道的敏感信息监测系统，对监测到的内容进行人工研判。一旦发现互联网敏感信息暴露，将第一时间进行告警</w:t>
      </w:r>
    </w:p>
    <w:p w14:paraId="1B3E6E19"/>
    <w:p w14:paraId="45127CB7">
      <w:pPr>
        <w:pStyle w:val="6"/>
        <w:rPr>
          <w:rFonts w:hint="eastAsia"/>
        </w:rPr>
      </w:pPr>
      <w:r>
        <w:rPr>
          <w:rFonts w:hint="eastAsia"/>
        </w:rPr>
        <w:t>互联网资产梳理与收敛服务</w:t>
      </w:r>
    </w:p>
    <w:p w14:paraId="714744D4">
      <w:pPr>
        <w:pStyle w:val="8"/>
      </w:pPr>
      <w:r>
        <w:rPr>
          <w:rFonts w:hint="eastAsia"/>
        </w:rPr>
        <w:t>通过资产测绘节点对指定范围的互联网地址进行资产探测，识别该互联网空间内的端口开放、服务协议，描绘空间内资产的状态，形成互联网资产台账，便于用户掌握互联网资产底数。基于主域名及关键字，利用机器学习算法、分布式扫描自动发现暴露在互联网上的全部数字资产，包括域名、Web网站、中间件等，输出高价值疑似、仿冒资产数据。提供互联网暴露面收敛建议，协助客户进行暴露面收敛工作。</w:t>
      </w:r>
    </w:p>
    <w:p w14:paraId="56287CBD">
      <w:pPr>
        <w:pStyle w:val="5"/>
        <w:rPr>
          <w:rFonts w:hint="eastAsia"/>
        </w:rPr>
      </w:pPr>
      <w:bookmarkStart w:id="114" w:name="_Toc782424524"/>
      <w:r>
        <w:rPr>
          <w:rFonts w:hint="eastAsia"/>
        </w:rPr>
        <w:t>远程漏洞扫描服务</w:t>
      </w:r>
      <w:bookmarkEnd w:id="114"/>
    </w:p>
    <w:p w14:paraId="6A464516">
      <w:pPr>
        <w:pStyle w:val="8"/>
      </w:pPr>
      <w:r>
        <w:rPr>
          <w:rFonts w:hint="eastAsia"/>
        </w:rPr>
        <w:t>提供远程扫描服务，针对客户web网站进行Web安全评估，查找Web站点中存在的安全问题和安全隐患，输出web网站安全漏洞扫描报告；对主机进行常态化安全漏洞与弱口令扫描，提供漏洞、弱口令台账与报告。输出主机安全漏洞扫描报告；</w:t>
      </w:r>
    </w:p>
    <w:p w14:paraId="24D54272">
      <w:pPr>
        <w:pStyle w:val="5"/>
        <w:rPr>
          <w:rFonts w:hint="eastAsia"/>
        </w:rPr>
      </w:pPr>
      <w:bookmarkStart w:id="115" w:name="_Toc1166604287"/>
      <w:r>
        <w:rPr>
          <w:rFonts w:hint="eastAsia"/>
        </w:rPr>
        <w:t>漏洞专项服务</w:t>
      </w:r>
      <w:bookmarkEnd w:id="115"/>
    </w:p>
    <w:p w14:paraId="2462E702">
      <w:pPr>
        <w:pStyle w:val="6"/>
        <w:rPr>
          <w:rFonts w:hint="eastAsia"/>
        </w:rPr>
      </w:pPr>
      <w:r>
        <w:rPr>
          <w:rFonts w:hint="eastAsia"/>
        </w:rPr>
        <w:t>渗透测试服务</w:t>
      </w:r>
    </w:p>
    <w:p w14:paraId="0144F82B">
      <w:pPr>
        <w:pStyle w:val="8"/>
      </w:pPr>
      <w:r>
        <w:rPr>
          <w:rStyle w:val="38"/>
        </w:rPr>
        <w:t>根据本项目相关信息系统的安全需求及业务系统的结构，在不影响业务系统正常运行的情况下，</w:t>
      </w:r>
      <w:r>
        <w:rPr>
          <w:rFonts w:hint="eastAsia"/>
        </w:rPr>
        <w:t>由具备高技能和高素质的安全服务人员发起、并模拟常见黑客所使用的攻击手段对目标系统进行模拟入侵，利用安全工具并结合个人经验，在测试矩阵的指导下，使用各种攻击技术对业务系统进行非破坏性质的模拟攻击和深入的安全测试；依托运营服务平台，将测试结果以结构化的形态纳入脆弱性闭环管理流程，承担测试结果审核工作，提供脆弱性加固方式，跟踪加固整改状态。服务的目的在于充分挖掘和暴露系统的弱点，从而让管理人员了解其系统所面临的威胁。</w:t>
      </w:r>
    </w:p>
    <w:p w14:paraId="4DF14530">
      <w:pPr>
        <w:pStyle w:val="39"/>
        <w:spacing w:line="360" w:lineRule="auto"/>
        <w:ind w:firstLine="480"/>
        <w:rPr>
          <w:sz w:val="24"/>
          <w:szCs w:val="24"/>
        </w:rPr>
      </w:pPr>
      <w:r>
        <w:rPr>
          <w:rFonts w:hint="eastAsia"/>
          <w:sz w:val="24"/>
          <w:szCs w:val="24"/>
        </w:rPr>
        <w:t>目前，服务根据测试的位置不同可以分为内部测试和外部测试；根据测试的方法不同分为黑盒测试和白盒测试两类。</w:t>
      </w:r>
    </w:p>
    <w:p w14:paraId="3BF82BCA">
      <w:pPr>
        <w:pStyle w:val="6"/>
        <w:numPr>
          <w:ilvl w:val="4"/>
          <w:numId w:val="12"/>
        </w:numPr>
        <w:rPr>
          <w:rFonts w:hint="eastAsia"/>
        </w:rPr>
      </w:pPr>
      <w:r>
        <w:rPr>
          <w:rFonts w:hint="eastAsia"/>
        </w:rPr>
        <w:t>内部测试和外部测试</w:t>
      </w:r>
    </w:p>
    <w:p w14:paraId="3AB4B229">
      <w:pPr>
        <w:pStyle w:val="39"/>
        <w:spacing w:line="360" w:lineRule="auto"/>
        <w:ind w:firstLine="480"/>
        <w:rPr>
          <w:sz w:val="24"/>
          <w:szCs w:val="24"/>
        </w:rPr>
      </w:pPr>
      <w:r>
        <w:rPr>
          <w:rFonts w:hint="eastAsia"/>
          <w:sz w:val="24"/>
          <w:szCs w:val="24"/>
        </w:rPr>
        <w:t>内部测试是指经过用户授权后，测试人员到达用户工作现场，根据用户的期望测试的目标直接接入到用户的办公网络甚至业务网络中。这种测试的好处就在于免去了测试人员从外部绕过防火墙、入侵保护等安全设备的工作。一般用于检测内部威胁源和路径。</w:t>
      </w:r>
    </w:p>
    <w:p w14:paraId="41239733">
      <w:pPr>
        <w:pStyle w:val="39"/>
        <w:spacing w:line="360" w:lineRule="auto"/>
        <w:ind w:firstLine="480"/>
        <w:rPr>
          <w:sz w:val="24"/>
          <w:szCs w:val="24"/>
        </w:rPr>
      </w:pPr>
      <w:r>
        <w:rPr>
          <w:rFonts w:hint="eastAsia"/>
          <w:sz w:val="24"/>
          <w:szCs w:val="24"/>
        </w:rPr>
        <w:t>外部测试与内部测试相反，测试人员无需到达客户现场，直接从互联网访问用户的某个接入到互联网的系统并进行测试即可。这种测试往往是应用于那些关注门户站点的用户，主要用于检测外部威胁源和路径。</w:t>
      </w:r>
    </w:p>
    <w:p w14:paraId="0D6C643C">
      <w:pPr>
        <w:pStyle w:val="6"/>
        <w:numPr>
          <w:ilvl w:val="4"/>
          <w:numId w:val="12"/>
        </w:numPr>
        <w:rPr>
          <w:rFonts w:hint="eastAsia"/>
        </w:rPr>
      </w:pPr>
      <w:r>
        <w:rPr>
          <w:rFonts w:hint="eastAsia"/>
        </w:rPr>
        <w:t>黑盒测试和白盒测试</w:t>
      </w:r>
    </w:p>
    <w:p w14:paraId="124E0A12">
      <w:pPr>
        <w:pStyle w:val="39"/>
        <w:spacing w:line="360" w:lineRule="auto"/>
        <w:ind w:firstLine="480"/>
        <w:rPr>
          <w:sz w:val="24"/>
          <w:szCs w:val="24"/>
        </w:rPr>
      </w:pPr>
      <w:r>
        <w:rPr>
          <w:rFonts w:hint="eastAsia"/>
          <w:sz w:val="24"/>
          <w:szCs w:val="24"/>
        </w:rPr>
        <w:t>黑盒测试是指测试人员对除目标系统的</w:t>
      </w:r>
      <w:r>
        <w:rPr>
          <w:sz w:val="24"/>
          <w:szCs w:val="24"/>
        </w:rPr>
        <w:t>IP</w:t>
      </w:r>
      <w:r>
        <w:rPr>
          <w:rFonts w:hint="eastAsia"/>
          <w:sz w:val="24"/>
          <w:szCs w:val="24"/>
        </w:rPr>
        <w:t>或域名以外的信息一无所知的情况下对系统发起的测试工作，这种方式可以较好的模拟黑客行为，了解外部恶意用户可能对系统带来的威胁。</w:t>
      </w:r>
    </w:p>
    <w:p w14:paraId="56E517D3">
      <w:pPr>
        <w:pStyle w:val="39"/>
        <w:spacing w:line="360" w:lineRule="auto"/>
        <w:ind w:firstLine="480"/>
      </w:pPr>
      <w:r>
        <w:rPr>
          <w:rFonts w:hint="eastAsia"/>
          <w:sz w:val="24"/>
          <w:szCs w:val="24"/>
        </w:rPr>
        <w:t>白盒测试则是指测试人员通过用户授权获取了部分信息的情况下进行的测试，如：目标系统的帐号、配置甚至源代码。这种情况用户模拟并检测内部的恶意用户可能为系统带来的威胁。</w:t>
      </w:r>
    </w:p>
    <w:bookmarkEnd w:id="28"/>
    <w:bookmarkEnd w:id="29"/>
    <w:p w14:paraId="2DCFD7D7">
      <w:pPr>
        <w:pStyle w:val="5"/>
        <w:rPr>
          <w:rFonts w:hint="eastAsia"/>
        </w:rPr>
      </w:pPr>
      <w:bookmarkStart w:id="116" w:name="_Toc328010975"/>
      <w:r>
        <w:rPr>
          <w:rFonts w:hint="eastAsia"/>
        </w:rPr>
        <w:t>安全设备建设服务</w:t>
      </w:r>
      <w:bookmarkEnd w:id="116"/>
    </w:p>
    <w:p w14:paraId="199812F2">
      <w:pPr>
        <w:pStyle w:val="6"/>
        <w:rPr>
          <w:rFonts w:hint="eastAsia"/>
        </w:rPr>
      </w:pPr>
      <w:r>
        <w:rPr>
          <w:rFonts w:hint="eastAsia"/>
        </w:rPr>
        <w:t>流量监测能力补充</w:t>
      </w:r>
    </w:p>
    <w:p w14:paraId="7A1B9E75">
      <w:pPr>
        <w:pStyle w:val="8"/>
      </w:pPr>
      <w:r>
        <w:rPr>
          <w:rFonts w:hint="eastAsia"/>
        </w:rPr>
        <w:t>在用户网络部署流量监测工具，对网络流量进行实时采集分析，发现网络中存在的 DoS/DDoS攻击、扫描等异常行为、会话连接异常行为、反序列化攻击行为、远程命令执行行为、尝试提权成功行为、Struts2 攻击成功事件行为等。</w:t>
      </w:r>
      <w:bookmarkEnd w:id="6"/>
    </w:p>
    <w:p w14:paraId="109AF8D3">
      <w:pPr>
        <w:pStyle w:val="3"/>
        <w:rPr>
          <w:rFonts w:hint="eastAsia"/>
        </w:rPr>
      </w:pPr>
      <w:bookmarkStart w:id="117" w:name="_Toc179986460"/>
      <w:r>
        <w:rPr>
          <w:rFonts w:hint="eastAsia"/>
        </w:rPr>
        <w:t>日常安全运维管理服务</w:t>
      </w:r>
      <w:bookmarkEnd w:id="117"/>
    </w:p>
    <w:p w14:paraId="2448761E">
      <w:pPr>
        <w:pStyle w:val="4"/>
        <w:rPr>
          <w:rFonts w:hint="eastAsia"/>
          <w:lang w:eastAsia="zh-Hans"/>
        </w:rPr>
      </w:pPr>
      <w:r>
        <w:rPr>
          <w:rFonts w:hint="eastAsia"/>
          <w:lang w:eastAsia="zh-Hans"/>
        </w:rPr>
        <w:t>网络安全</w:t>
      </w:r>
      <w:r>
        <w:rPr>
          <w:rFonts w:hint="eastAsia"/>
        </w:rPr>
        <w:t>法律法规</w:t>
      </w:r>
      <w:r>
        <w:rPr>
          <w:rFonts w:hint="eastAsia"/>
          <w:lang w:eastAsia="zh-Hans"/>
        </w:rPr>
        <w:t>知识管理服务</w:t>
      </w:r>
    </w:p>
    <w:p w14:paraId="0AE830F9">
      <w:r>
        <w:rPr>
          <w:rFonts w:hint="eastAsia"/>
        </w:rPr>
        <w:t>提供基于国家与行业法律法规要求的合规知识管理服务，帮助客户更好地理解和遵守相关法律法规，涵盖了等级保护、商用密码评估、数据安全、个人信息保护以及其他相关领域的知识，以在线资源库的方式进行管理。</w:t>
      </w:r>
    </w:p>
    <w:p w14:paraId="08AB6C4B">
      <w:pPr>
        <w:pStyle w:val="5"/>
        <w:rPr>
          <w:rFonts w:hint="eastAsia"/>
        </w:rPr>
      </w:pPr>
      <w:r>
        <w:rPr>
          <w:rFonts w:hint="eastAsia"/>
        </w:rPr>
        <w:t>服务内容</w:t>
      </w:r>
    </w:p>
    <w:p w14:paraId="336636B0">
      <w:r>
        <w:rPr>
          <w:rFonts w:hint="eastAsia"/>
        </w:rPr>
        <w:t>根据中医院大学的行业个性化需求，梳理国家与医疗卫生行业的安全相关法律法规要求，进行体系化的整合后提供给中医药大学，知识文档可通过在线资源库方面进行管理，方便查询与使用。</w:t>
      </w:r>
    </w:p>
    <w:p w14:paraId="734CD5AD">
      <w:pPr>
        <w:pStyle w:val="5"/>
        <w:rPr>
          <w:rFonts w:hint="eastAsia"/>
        </w:rPr>
      </w:pPr>
      <w:r>
        <w:rPr>
          <w:rFonts w:hint="eastAsia"/>
        </w:rPr>
        <w:t>知识文档说明</w:t>
      </w:r>
    </w:p>
    <w:p w14:paraId="65AE4295">
      <w:r>
        <w:rPr>
          <w:rFonts w:hint="eastAsia"/>
        </w:rPr>
        <w:t>网络安全法律法规知识文档，分为等级保护、关键基础设施安全、数据安全、商业秘密安全、政务安全以及其他相关领域的文档，总数量不少于150个。</w:t>
      </w:r>
    </w:p>
    <w:p w14:paraId="693D4E54">
      <w:pPr>
        <w:pStyle w:val="5"/>
        <w:rPr>
          <w:rFonts w:hint="eastAsia"/>
        </w:rPr>
      </w:pPr>
      <w:r>
        <w:rPr>
          <w:rFonts w:hint="eastAsia"/>
        </w:rPr>
        <w:t>定期更新知识内容</w:t>
      </w:r>
    </w:p>
    <w:p w14:paraId="6FF2E48C">
      <w:r>
        <w:t>为了确保合规知识的及时更新，</w:t>
      </w:r>
      <w:r>
        <w:rPr>
          <w:rFonts w:hint="eastAsia"/>
        </w:rPr>
        <w:t>我们</w:t>
      </w:r>
      <w:r>
        <w:t>建立</w:t>
      </w:r>
      <w:r>
        <w:rPr>
          <w:rFonts w:hint="eastAsia"/>
        </w:rPr>
        <w:t>了完善</w:t>
      </w:r>
      <w:r>
        <w:t>的更新机制，包括指定专人监控政策法规的发布，定期审查操作手册和</w:t>
      </w:r>
      <w:r>
        <w:rPr>
          <w:rFonts w:hint="eastAsia"/>
        </w:rPr>
        <w:t>指南</w:t>
      </w:r>
      <w:r>
        <w:t>类内容，建立用户反馈机制来调整和更新知识库</w:t>
      </w:r>
      <w:r>
        <w:rPr>
          <w:rFonts w:hint="eastAsia"/>
        </w:rPr>
        <w:t>。</w:t>
      </w:r>
      <w:r>
        <w:t>实时监控行业动态以快速响应行业内的重要事件和技术进展，以及确保技术支持团队参与知识库的更新，</w:t>
      </w:r>
      <w:r>
        <w:rPr>
          <w:rFonts w:hint="eastAsia"/>
        </w:rPr>
        <w:t>并且</w:t>
      </w:r>
      <w:r>
        <w:t>建立</w:t>
      </w:r>
      <w:r>
        <w:rPr>
          <w:rFonts w:hint="eastAsia"/>
        </w:rPr>
        <w:t>了</w:t>
      </w:r>
      <w:r>
        <w:t>明确的更新流程和责任分配</w:t>
      </w:r>
      <w:r>
        <w:rPr>
          <w:rFonts w:hint="eastAsia"/>
        </w:rPr>
        <w:t>。在外部，</w:t>
      </w:r>
      <w:r>
        <w:t>利用权威的国家法律法规数据库作为更新的重要来源，确保每个更新环节都有明确的责任人和时间节点</w:t>
      </w:r>
      <w:r>
        <w:rPr>
          <w:rFonts w:hint="eastAsia"/>
        </w:rPr>
        <w:t>，知识更新方式灵活，可以根据客户的技术条件进行在线或离线方式更新</w:t>
      </w:r>
      <w:r>
        <w:t>。通过这些措施，</w:t>
      </w:r>
      <w:r>
        <w:rPr>
          <w:rFonts w:hint="eastAsia"/>
        </w:rPr>
        <w:t>我们</w:t>
      </w:r>
      <w:r>
        <w:t>能够确保合规知识库的内容始终最新</w:t>
      </w:r>
      <w:r>
        <w:rPr>
          <w:rFonts w:hint="eastAsia"/>
        </w:rPr>
        <w:t>，并且全面覆盖中医药大学的安全合规工作需要</w:t>
      </w:r>
      <w:r>
        <w:t>。</w:t>
      </w:r>
    </w:p>
    <w:p w14:paraId="5436CE9C"/>
    <w:p w14:paraId="55A12B56">
      <w:pPr>
        <w:pStyle w:val="4"/>
        <w:rPr>
          <w:rFonts w:hint="eastAsia"/>
          <w:lang w:eastAsia="zh-Hans"/>
        </w:rPr>
      </w:pPr>
      <w:r>
        <w:rPr>
          <w:rFonts w:hint="eastAsia"/>
        </w:rPr>
        <w:t>安全运维</w:t>
      </w:r>
      <w:r>
        <w:rPr>
          <w:rFonts w:hint="eastAsia"/>
          <w:lang w:eastAsia="zh-Hans"/>
        </w:rPr>
        <w:t>过程管理服务</w:t>
      </w:r>
    </w:p>
    <w:p w14:paraId="230854F7">
      <w:pPr>
        <w:pStyle w:val="5"/>
        <w:rPr>
          <w:rFonts w:hint="eastAsia"/>
        </w:rPr>
      </w:pPr>
      <w:r>
        <w:rPr>
          <w:rFonts w:hint="eastAsia"/>
        </w:rPr>
        <w:t>安全重点</w:t>
      </w:r>
      <w:r>
        <w:t>资产管理</w:t>
      </w:r>
    </w:p>
    <w:p w14:paraId="11B04F97">
      <w:r>
        <w:t>提供安全</w:t>
      </w:r>
      <w:r>
        <w:rPr>
          <w:rFonts w:hint="eastAsia"/>
        </w:rPr>
        <w:t>运维中</w:t>
      </w:r>
      <w:r>
        <w:t>相关</w:t>
      </w:r>
      <w:r>
        <w:rPr>
          <w:rFonts w:hint="eastAsia"/>
        </w:rPr>
        <w:t>重点</w:t>
      </w:r>
      <w:r>
        <w:t>资产的管理服务，</w:t>
      </w:r>
      <w:r>
        <w:rPr>
          <w:rFonts w:hint="eastAsia"/>
        </w:rPr>
        <w:t>分析中医药大学的特定的资产情况，针对性地进行梳理。</w:t>
      </w:r>
      <w:r>
        <w:t>对</w:t>
      </w:r>
      <w:r>
        <w:rPr>
          <w:rFonts w:hint="eastAsia"/>
        </w:rPr>
        <w:t>这些重要</w:t>
      </w:r>
      <w:r>
        <w:t>资产进行全面的梳理和分类，包括</w:t>
      </w:r>
      <w:r>
        <w:rPr>
          <w:rFonts w:hint="eastAsia"/>
        </w:rPr>
        <w:t>重点</w:t>
      </w:r>
      <w:r>
        <w:t>系统和各类设备</w:t>
      </w:r>
      <w:r>
        <w:rPr>
          <w:rFonts w:hint="eastAsia"/>
        </w:rPr>
        <w:t>以及数据库资产，为安全自查提供基础信息。服务人员协助客户使用管理平台，进行资产清单列表、资产发现工具等进行梳理，包括而不限于以下信息维度：</w:t>
      </w:r>
    </w:p>
    <w:p w14:paraId="33EA0EC0">
      <w:r>
        <w:rPr>
          <w:rFonts w:hint="eastAsia"/>
        </w:rPr>
        <w:t>系统梳理维度：名称、所属单位/部门、部署位置、等级级别、是否涉及商密安全、运行状态、包含的设备数量、相关网络拓扑等信息。</w:t>
      </w:r>
    </w:p>
    <w:p w14:paraId="3544ACC0">
      <w:r>
        <w:rPr>
          <w:rFonts w:hint="eastAsia"/>
        </w:rPr>
        <w:t>设备梳理维度：名称、物理位置、重要程度、相关信息系统、责任人等方面信息。</w:t>
      </w:r>
    </w:p>
    <w:p w14:paraId="26A402CA">
      <w:r>
        <w:rPr>
          <w:rFonts w:hint="eastAsia"/>
        </w:rPr>
        <w:t>服务人员将向客户提供安全运维重点资产清单，并整理到在线平台中，方便安全负责人随时进行查阅。同时，安全人员以安全重点资产信息为基础，在进行安全风险防护、等级保护、商密安全和其他安全要求符合情况的检查时获得更高的效率，更精准的检查结果，高效指导整改工作。</w:t>
      </w:r>
    </w:p>
    <w:p w14:paraId="7D0BCC55">
      <w:r>
        <w:rPr>
          <w:rFonts w:hint="eastAsia"/>
        </w:rPr>
        <w:t>相关资产可以在多次的运维工作中进行复用，如本年度安全自查与整改工作，可以利用上一年的资产信息，等级保护相关资产应用到商密安全或数据安全保护等其他运维领域等。</w:t>
      </w:r>
    </w:p>
    <w:p w14:paraId="48AAC79F">
      <w:pPr>
        <w:pStyle w:val="5"/>
        <w:rPr>
          <w:rFonts w:hint="eastAsia"/>
        </w:rPr>
      </w:pPr>
      <w:r>
        <w:rPr>
          <w:rFonts w:hint="eastAsia"/>
        </w:rPr>
        <w:t>安全运维</w:t>
      </w:r>
      <w:r>
        <w:t>过程管理</w:t>
      </w:r>
    </w:p>
    <w:p w14:paraId="5AB90A95">
      <w:r>
        <w:rPr>
          <w:rFonts w:hint="eastAsia"/>
        </w:rPr>
        <w:t>本项服务将借助管理平台，协助客户对中医药大学在安全运维过程中的各项操作所产生的文档进行收集与整理，包括本单位制度文件、安全组织说明、安全检查记录、安全扫描结果文档、安全整改记录等，统一存储与保存。避免因安全服务项目更换服务方、更换项目经理等原因导致的运维过程文档丢失。</w:t>
      </w:r>
    </w:p>
    <w:p w14:paraId="07D7DE95">
      <w:r>
        <w:rPr>
          <w:rFonts w:hint="eastAsia"/>
        </w:rPr>
        <w:t>此项服务能够保证所有与安全运维管理相关的文档得到妥善保管和有序管理。在中医药大学这样的教育机构中，有效的安全运维管理是确保教学质量、保护患者隐私、维护科研诚信的重要环节。通过对制度文件、安全组织说明、安全检查记录、安全扫描结果文档、安全整改记录等关键文档的统一存储与保存，可以有效地避免因服务方更换、项目经理更迭等人为因素导致的文档丢失或散落，确保了安全运维管理的连续性和完整性。</w:t>
      </w:r>
    </w:p>
    <w:p w14:paraId="7F82B58B">
      <w:r>
        <w:rPr>
          <w:rFonts w:hint="eastAsia"/>
        </w:rPr>
        <w:t>良好的文档管理还有助于提高安全工作的效率，当需要进行内部审计、外部监管检查或面临法律诉讼时，能够迅速提供所需的证据和记录，减少因文档不完整或难以获取而带来的风险。这也有助于中医药大学在不断变化的法律法规环境中，快速适应新的合规要求，及时更新相关政策和程序，保障学校运营的合法性和安全性。</w:t>
      </w:r>
    </w:p>
    <w:p w14:paraId="547B9745">
      <w:pPr>
        <w:pStyle w:val="4"/>
        <w:rPr>
          <w:rFonts w:hint="eastAsia"/>
          <w:lang w:eastAsia="zh-Hans"/>
        </w:rPr>
      </w:pPr>
      <w:r>
        <w:rPr>
          <w:rFonts w:hint="eastAsia"/>
          <w:lang w:eastAsia="zh-Hans"/>
        </w:rPr>
        <w:t>安全</w:t>
      </w:r>
      <w:r>
        <w:rPr>
          <w:rFonts w:hint="eastAsia"/>
        </w:rPr>
        <w:t>运维自检</w:t>
      </w:r>
      <w:r>
        <w:rPr>
          <w:rFonts w:hint="eastAsia"/>
          <w:lang w:eastAsia="zh-Hans"/>
        </w:rPr>
        <w:t>服务</w:t>
      </w:r>
    </w:p>
    <w:p w14:paraId="246722FC">
      <w:r>
        <w:t>安全运维自检服务是一项全面</w:t>
      </w:r>
      <w:r>
        <w:rPr>
          <w:rFonts w:hint="eastAsia"/>
        </w:rPr>
        <w:t>核查</w:t>
      </w:r>
      <w:r>
        <w:t>的安全</w:t>
      </w:r>
      <w:r>
        <w:rPr>
          <w:rFonts w:hint="eastAsia"/>
        </w:rPr>
        <w:t>运维工作效果的服务</w:t>
      </w:r>
      <w:r>
        <w:t>，</w:t>
      </w:r>
      <w:r>
        <w:rPr>
          <w:rFonts w:hint="eastAsia"/>
        </w:rPr>
        <w:t>可以有效发现安全运维工作中存在的实际问题，</w:t>
      </w:r>
      <w:r>
        <w:t>包括建立自检指标、自检任务的下发、结果回收与分析等</w:t>
      </w:r>
      <w:r>
        <w:rPr>
          <w:rFonts w:hint="eastAsia"/>
        </w:rPr>
        <w:t>内容</w:t>
      </w:r>
      <w:r>
        <w:t>。</w:t>
      </w:r>
    </w:p>
    <w:p w14:paraId="23B5ED1F">
      <w:pPr>
        <w:pStyle w:val="5"/>
        <w:rPr>
          <w:rFonts w:hint="eastAsia"/>
        </w:rPr>
      </w:pPr>
      <w:r>
        <w:rPr>
          <w:rFonts w:hint="eastAsia"/>
        </w:rPr>
        <w:t>建立自检指标</w:t>
      </w:r>
    </w:p>
    <w:p w14:paraId="1556945B">
      <w:r>
        <w:rPr>
          <w:rFonts w:hint="eastAsia"/>
        </w:rPr>
        <w:t>在法律法规知识管理基础上，</w:t>
      </w:r>
      <w:r>
        <w:t>依据行业标准和法规要求，结合中医药大学的业务特性和IT架构，制定一套</w:t>
      </w:r>
      <w:r>
        <w:rPr>
          <w:rFonts w:hint="eastAsia"/>
        </w:rPr>
        <w:t>针对安全管理、重点系统与设备</w:t>
      </w:r>
      <w:r>
        <w:t>的安全自检标准和基线，这些指标将涵盖</w:t>
      </w:r>
      <w:r>
        <w:rPr>
          <w:rFonts w:hint="eastAsia"/>
        </w:rPr>
        <w:t>安全组织与管理、</w:t>
      </w:r>
      <w:r>
        <w:t>网络设备、服务器、数据库、应用程序以及终端设备的安全性</w:t>
      </w:r>
      <w:r>
        <w:rPr>
          <w:rFonts w:hint="eastAsia"/>
        </w:rPr>
        <w:t>。</w:t>
      </w:r>
    </w:p>
    <w:p w14:paraId="35863596">
      <w:pPr>
        <w:pStyle w:val="5"/>
        <w:rPr>
          <w:rFonts w:hint="eastAsia"/>
        </w:rPr>
      </w:pPr>
      <w:r>
        <w:rPr>
          <w:rFonts w:hint="eastAsia"/>
        </w:rPr>
        <w:t>自检过程</w:t>
      </w:r>
    </w:p>
    <w:p w14:paraId="78C27CC0">
      <w:r>
        <w:t>利用自动化工具将任务分发给各个责任部门和</w:t>
      </w:r>
      <w:r>
        <w:rPr>
          <w:rFonts w:hint="eastAsia"/>
        </w:rPr>
        <w:t>安全相关的人</w:t>
      </w:r>
      <w:r>
        <w:t>员，确保每个环节和设备都按照既定的自检指标进行检测。这可能包括漏洞扫描、配置核查、</w:t>
      </w:r>
      <w:r>
        <w:rPr>
          <w:rFonts w:hint="eastAsia"/>
        </w:rPr>
        <w:t>访问控制、病毒特征库、邮件安全</w:t>
      </w:r>
      <w:r>
        <w:t>等</w:t>
      </w:r>
      <w:r>
        <w:rPr>
          <w:rFonts w:hint="eastAsia"/>
        </w:rPr>
        <w:t>各方面安全措施的核查、扫描、验证等工作，各责任部门的安全相关人员应在自检指标的指导下进行检查，并上报检查结果</w:t>
      </w:r>
      <w:r>
        <w:t>。</w:t>
      </w:r>
    </w:p>
    <w:p w14:paraId="5838D9F8"/>
    <w:p w14:paraId="180EE1A1">
      <w:pPr>
        <w:pStyle w:val="5"/>
        <w:rPr>
          <w:rFonts w:hint="eastAsia"/>
        </w:rPr>
      </w:pPr>
      <w:r>
        <w:rPr>
          <w:rFonts w:hint="eastAsia"/>
        </w:rPr>
        <w:t>结果回收与分析</w:t>
      </w:r>
    </w:p>
    <w:p w14:paraId="0DF28B7F">
      <w:r>
        <w:t>收集来自各个</w:t>
      </w:r>
      <w:r>
        <w:rPr>
          <w:rFonts w:hint="eastAsia"/>
        </w:rPr>
        <w:t>方</w:t>
      </w:r>
      <w:r>
        <w:t>面的自检报告，并进行集中分析。这一步骤是发现潜在安全问题和弱点的关键，通过对结果的深入分析，可以识别出需要改进的</w:t>
      </w:r>
      <w:r>
        <w:rPr>
          <w:rFonts w:hint="eastAsia"/>
        </w:rPr>
        <w:t>重点</w:t>
      </w:r>
      <w:r>
        <w:t>安全</w:t>
      </w:r>
      <w:r>
        <w:rPr>
          <w:rFonts w:hint="eastAsia"/>
        </w:rPr>
        <w:t>问题</w:t>
      </w:r>
      <w:r>
        <w:t>。分析结果报告</w:t>
      </w:r>
      <w:r>
        <w:rPr>
          <w:rFonts w:hint="eastAsia"/>
        </w:rPr>
        <w:t>中包括</w:t>
      </w:r>
      <w:r>
        <w:t>安全问题列表，还会提出具体的整改建议和措施</w:t>
      </w:r>
      <w:r>
        <w:rPr>
          <w:rFonts w:hint="eastAsia"/>
        </w:rPr>
        <w:t>，发现的重点问题还可以在下一个环节“安全漏洞管理与跟踪服务”中进行闭环管理并解决</w:t>
      </w:r>
      <w:r>
        <w:t>。</w:t>
      </w:r>
    </w:p>
    <w:p w14:paraId="2CDE4ED8"/>
    <w:p w14:paraId="678387C9">
      <w:r>
        <w:t>此项服务为中医药大学提供了系统化、规范化的安全自检流程，有助于及时发现并修复安全漏洞，降低安全风险。通过定期的自检，可以确保安全措施的有效性，加强内部管理，提高对外部威胁的防御能力。此外，良好的自检机制也是满足合规性要求、避免潜在法律风险的重要手段。通过自检，可以提高信息系统的整体安全性，保护关键数据不受侵害，确保业务的连续性和稳定性。</w:t>
      </w:r>
    </w:p>
    <w:p w14:paraId="3BFD299F">
      <w:pPr>
        <w:pStyle w:val="4"/>
        <w:rPr>
          <w:rFonts w:hint="eastAsia"/>
          <w:lang w:eastAsia="zh-Hans"/>
        </w:rPr>
      </w:pPr>
      <w:r>
        <w:rPr>
          <w:rFonts w:hint="eastAsia"/>
        </w:rPr>
        <w:t>安全</w:t>
      </w:r>
      <w:r>
        <w:rPr>
          <w:rFonts w:hint="eastAsia"/>
          <w:lang w:eastAsia="zh-Hans"/>
        </w:rPr>
        <w:t>漏洞</w:t>
      </w:r>
      <w:r>
        <w:rPr>
          <w:rFonts w:hint="eastAsia"/>
        </w:rPr>
        <w:t>管理与</w:t>
      </w:r>
      <w:r>
        <w:rPr>
          <w:rFonts w:hint="eastAsia"/>
          <w:lang w:eastAsia="zh-Hans"/>
        </w:rPr>
        <w:t>跟踪服务</w:t>
      </w:r>
    </w:p>
    <w:p w14:paraId="7A329F69">
      <w:r>
        <w:rPr>
          <w:rFonts w:hint="eastAsia"/>
        </w:rPr>
        <w:t>在安全运维中通常会发现必须整改的重点安全问题，如高危漏洞或弱口令等问题，本服务将协助客户对安全运维中发现的漏洞进行统一全面的管理与跟踪。</w:t>
      </w:r>
    </w:p>
    <w:p w14:paraId="031A7982">
      <w:pPr>
        <w:pStyle w:val="5"/>
        <w:rPr>
          <w:rFonts w:hint="eastAsia"/>
        </w:rPr>
      </w:pPr>
      <w:r>
        <w:t>服务内容</w:t>
      </w:r>
    </w:p>
    <w:p w14:paraId="29B4152B">
      <w:r>
        <w:t>本项服务</w:t>
      </w:r>
      <w:r>
        <w:rPr>
          <w:rFonts w:hint="eastAsia"/>
        </w:rPr>
        <w:t>将</w:t>
      </w:r>
      <w:r>
        <w:t>为中医药大学</w:t>
      </w:r>
      <w:r>
        <w:rPr>
          <w:rFonts w:hint="eastAsia"/>
        </w:rPr>
        <w:t>进行安全</w:t>
      </w:r>
      <w:r>
        <w:t>漏洞管理</w:t>
      </w:r>
      <w:r>
        <w:rPr>
          <w:rFonts w:hint="eastAsia"/>
        </w:rPr>
        <w:t>工作</w:t>
      </w:r>
      <w:r>
        <w:t>，确保所有</w:t>
      </w:r>
      <w:r>
        <w:rPr>
          <w:rFonts w:hint="eastAsia"/>
        </w:rPr>
        <w:t>安全运维</w:t>
      </w:r>
      <w:r>
        <w:t>相关的漏洞得到有效的识别、跟踪和管理。这包括从各种来源收集漏洞信息，如</w:t>
      </w:r>
      <w:r>
        <w:rPr>
          <w:rFonts w:hint="eastAsia"/>
        </w:rPr>
        <w:t>前一小节的安全自检服务、</w:t>
      </w:r>
      <w:r>
        <w:t>安全扫描结果报告、合规测评报告、渗透测试结果等，实现从漏洞发现到修复的全流程管理。</w:t>
      </w:r>
      <w:r>
        <w:rPr>
          <w:rFonts w:hint="eastAsia"/>
        </w:rPr>
        <w:t>服务将建立相关漏洞的清单，</w:t>
      </w:r>
      <w:r>
        <w:t>漏洞管理的过程还将涉及到对漏洞的优先级排序、修复进度的跟踪以及修复效果的验证。这样可以确保资源得到合理分配，优先处理那些对系统安全和合规性影响最大的漏洞。同时，通过对漏洞的深入分析，可以更好地理解潜在的攻击面和安全风险，从而制定出更加有效的安全策略和预防措施。</w:t>
      </w:r>
    </w:p>
    <w:p w14:paraId="7C9CDB27">
      <w:pPr>
        <w:pStyle w:val="5"/>
        <w:rPr>
          <w:rFonts w:hint="eastAsia"/>
        </w:rPr>
      </w:pPr>
      <w:r>
        <w:t>闭环的</w:t>
      </w:r>
      <w:r>
        <w:rPr>
          <w:rFonts w:hint="eastAsia"/>
        </w:rPr>
        <w:t>安全漏洞</w:t>
      </w:r>
      <w:r>
        <w:t>管理</w:t>
      </w:r>
    </w:p>
    <w:p w14:paraId="2890516B">
      <w:r>
        <w:rPr>
          <w:rFonts w:hint="eastAsia"/>
        </w:rPr>
        <w:t>本项</w:t>
      </w:r>
      <w:r>
        <w:t>服务通过对</w:t>
      </w:r>
      <w:r>
        <w:rPr>
          <w:rFonts w:hint="eastAsia"/>
        </w:rPr>
        <w:t>安全相关</w:t>
      </w:r>
      <w:r>
        <w:t>漏洞的统一管理</w:t>
      </w:r>
      <w:r>
        <w:rPr>
          <w:rFonts w:hint="eastAsia"/>
        </w:rPr>
        <w:t>与跟踪</w:t>
      </w:r>
      <w:r>
        <w:t>，可以提高中医药大学对网络安全威胁的响应速度和处理能力。</w:t>
      </w:r>
      <w:r>
        <w:rPr>
          <w:rFonts w:hint="eastAsia"/>
        </w:rPr>
        <w:t>在管理中，每项漏洞都可分配确定的责任人来落实整改工作，在确认了整改效果之后，才会将此项漏洞的状态改为完成整改。</w:t>
      </w:r>
      <w:r>
        <w:t>这不仅有助于及时修复高危漏洞，防止数据泄露和其他安全事件，还可以在</w:t>
      </w:r>
      <w:r>
        <w:rPr>
          <w:rFonts w:hint="eastAsia"/>
        </w:rPr>
        <w:t>面临监管</w:t>
      </w:r>
      <w:r>
        <w:t>检查</w:t>
      </w:r>
      <w:r>
        <w:rPr>
          <w:rFonts w:hint="eastAsia"/>
        </w:rPr>
        <w:t>时</w:t>
      </w:r>
      <w:r>
        <w:t>提供必要的支持和证据。通过持续的漏洞跟踪和管理，可以不断优化学校的网络安全防护措施，增强整体的安全防护能力。</w:t>
      </w:r>
    </w:p>
    <w:p w14:paraId="43903F3A">
      <w:pPr>
        <w:pStyle w:val="3"/>
        <w:rPr>
          <w:rFonts w:hint="eastAsia"/>
        </w:rPr>
      </w:pPr>
      <w:bookmarkStart w:id="118" w:name="_Toc939502341"/>
      <w:r>
        <w:t>安全服务工具要求</w:t>
      </w:r>
    </w:p>
    <w:p w14:paraId="0FD6673E">
      <w:pPr>
        <w:pStyle w:val="49"/>
        <w:spacing w:before="156" w:after="105"/>
        <w:ind w:firstLine="420"/>
        <w:jc w:val="both"/>
        <w:rPr>
          <w:rFonts w:hint="default"/>
        </w:rPr>
      </w:pPr>
      <w:r>
        <w:rPr>
          <w:rFonts w:ascii="宋体" w:hAnsi="宋体" w:eastAsia="宋体" w:cs="宋体"/>
          <w:sz w:val="21"/>
        </w:rPr>
        <w:t>由于我校系统资产数庞大、系统类别多、测评周期长，在项目服务过程中存在各种风险情况，投标人必须具备等保资产探测、等保资产风险管控、资产漏洞检测验证、资产威胁分析、等保全流程管控等能力，需在机房采用安全服务工具，在安全服务过程中，监测风险，辅助运维，保障信息系统安全稳定运行。安全服务工具应具备以下能力：</w:t>
      </w:r>
    </w:p>
    <w:p w14:paraId="2F4380D4">
      <w:pPr>
        <w:pStyle w:val="49"/>
        <w:spacing w:before="156" w:after="105"/>
        <w:ind w:firstLine="420"/>
        <w:jc w:val="both"/>
        <w:rPr>
          <w:rFonts w:hint="default"/>
        </w:rPr>
      </w:pPr>
      <w:r>
        <w:rPr>
          <w:rFonts w:ascii="宋体" w:hAnsi="宋体" w:eastAsia="宋体" w:cs="宋体"/>
          <w:sz w:val="21"/>
        </w:rPr>
        <w:t>1.支持自动扫描IP资产信息，包括：“存活IP、设备厂商、操作系统、端口、应用、数据库、中间件、服务版本”等资产指纹特征；</w:t>
      </w:r>
    </w:p>
    <w:p w14:paraId="4BB20D8C">
      <w:pPr>
        <w:pStyle w:val="49"/>
        <w:spacing w:before="156" w:after="105"/>
        <w:ind w:firstLine="420"/>
        <w:jc w:val="both"/>
        <w:rPr>
          <w:rFonts w:hint="default"/>
        </w:rPr>
      </w:pPr>
      <w:r>
        <w:rPr>
          <w:rFonts w:ascii="宋体" w:hAnsi="宋体" w:eastAsia="宋体" w:cs="宋体"/>
          <w:sz w:val="21"/>
        </w:rPr>
        <w:t>2.支持二级域名扫描功能，输入一级域名进行一键扫描，通过搜索互联网数据，自动获取到该域名的二级域名、网站标题、解析IP地址；</w:t>
      </w:r>
    </w:p>
    <w:p w14:paraId="08BE871C">
      <w:pPr>
        <w:pStyle w:val="49"/>
        <w:spacing w:before="156" w:after="105"/>
        <w:ind w:firstLine="420"/>
        <w:jc w:val="both"/>
        <w:rPr>
          <w:rFonts w:hint="default"/>
        </w:rPr>
      </w:pPr>
      <w:r>
        <w:rPr>
          <w:rFonts w:ascii="宋体" w:hAnsi="宋体" w:eastAsia="宋体" w:cs="宋体"/>
          <w:sz w:val="21"/>
        </w:rPr>
        <w:t>3.通过爬取企业单位已知的网站页面，分析网页中是否包含企业单位相关的网站链接，从而发现未知网站；可配置“网段、域名”等命中规则，自动判断是否属于企业单位的网址</w:t>
      </w:r>
    </w:p>
    <w:p w14:paraId="1051E915">
      <w:pPr>
        <w:pStyle w:val="49"/>
        <w:spacing w:before="156" w:after="105"/>
        <w:ind w:firstLine="420"/>
        <w:jc w:val="both"/>
        <w:rPr>
          <w:rFonts w:hint="default"/>
        </w:rPr>
      </w:pPr>
      <w:r>
        <w:rPr>
          <w:rFonts w:ascii="宋体" w:hAnsi="宋体" w:eastAsia="宋体" w:cs="宋体"/>
          <w:sz w:val="21"/>
        </w:rPr>
        <w:t>4.可监测发布到网上的pdf、word、excel文件中是否包含“身份证号、邮箱、手机号码、用户名/密码”等敏感信息，可在系统上查看泄露的信息以及敏感文件下载链接；</w:t>
      </w:r>
    </w:p>
    <w:p w14:paraId="31678F0A">
      <w:pPr>
        <w:pStyle w:val="49"/>
        <w:spacing w:before="156" w:after="105"/>
        <w:ind w:firstLine="420"/>
        <w:jc w:val="both"/>
        <w:rPr>
          <w:rFonts w:hint="default"/>
        </w:rPr>
      </w:pPr>
      <w:r>
        <w:rPr>
          <w:rFonts w:ascii="宋体" w:hAnsi="宋体" w:eastAsia="宋体" w:cs="宋体"/>
          <w:sz w:val="21"/>
        </w:rPr>
        <w:t>5.漏洞库漏洞信息大于210000条，与CVE、CNNVD等主流标准兼容，提供详细的漏洞描述和对应的解决方案描述。支持通过多种维度对漏洞进行检索，包括：CVE ID、CNNVD ID、漏洞名称、漏洞风险等级等维度。可基于资产的版本信息，全面、快速进行漏洞版本比对，兼容CVE、CNNVD等漏洞库；</w:t>
      </w:r>
    </w:p>
    <w:p w14:paraId="6CE74640">
      <w:pPr>
        <w:pStyle w:val="49"/>
        <w:spacing w:before="156" w:after="105"/>
        <w:ind w:firstLine="420"/>
        <w:jc w:val="both"/>
        <w:rPr>
          <w:rFonts w:hint="default"/>
        </w:rPr>
      </w:pPr>
      <w:r>
        <w:rPr>
          <w:rFonts w:ascii="宋体" w:hAnsi="宋体" w:eastAsia="宋体" w:cs="宋体"/>
          <w:sz w:val="21"/>
        </w:rPr>
        <w:t>6.支持漏洞跟踪管理，能够自动对漏洞状态进行处置，自动识别“新增、已修复、未修复”的漏洞，同时支持人工方式进行漏洞状态处置，以及编写漏洞备注；</w:t>
      </w:r>
    </w:p>
    <w:p w14:paraId="7F7EFA5C">
      <w:pPr>
        <w:pStyle w:val="49"/>
        <w:spacing w:before="156" w:after="105"/>
        <w:ind w:firstLine="420"/>
        <w:jc w:val="both"/>
        <w:rPr>
          <w:rFonts w:hint="default"/>
        </w:rPr>
      </w:pPr>
      <w:r>
        <w:rPr>
          <w:rFonts w:ascii="宋体" w:hAnsi="宋体" w:eastAsia="宋体" w:cs="宋体"/>
          <w:sz w:val="21"/>
        </w:rPr>
        <w:t>7.不需要联动第三方设备、不需要在主机上安装agent脚本，就能对失陷主机进行网络隔离，隔离后失陷主机无法访问同网段以及其它网段IP，防止失陷主机继续对东西向主机进行病毒传播、横向攻击等行为；</w:t>
      </w:r>
    </w:p>
    <w:p w14:paraId="45579807">
      <w:pPr>
        <w:pStyle w:val="49"/>
        <w:spacing w:before="156" w:after="105"/>
        <w:ind w:firstLine="420"/>
        <w:jc w:val="both"/>
        <w:rPr>
          <w:rFonts w:ascii="宋体" w:hAnsi="宋体" w:eastAsia="宋体" w:cs="宋体"/>
          <w:sz w:val="21"/>
        </w:rPr>
      </w:pPr>
      <w:r>
        <w:rPr>
          <w:rFonts w:ascii="宋体" w:hAnsi="宋体" w:eastAsia="宋体" w:cs="宋体"/>
          <w:sz w:val="21"/>
        </w:rPr>
        <w:t>8.支持至少10种可自定义logo和公司名称的仿真蜜罐，仿真蜜罐类型包括但不限于：“齐治堡垒机、启明堡垒机、深信服VPN、泛微OA、通达OA、u8crm、wiki、mailcow、bbs论坛、订单管理系统”。</w:t>
      </w:r>
      <w:bookmarkEnd w:id="118"/>
    </w:p>
    <w:p w14:paraId="642C61D4">
      <w:pPr>
        <w:pStyle w:val="3"/>
        <w:rPr>
          <w:rFonts w:hint="eastAsia"/>
        </w:rPr>
      </w:pPr>
      <w:r>
        <w:rPr>
          <w:rFonts w:hint="eastAsia"/>
          <w:lang w:val="en-US" w:eastAsia="zh-CN"/>
        </w:rPr>
        <w:t>验收及付款</w:t>
      </w:r>
    </w:p>
    <w:p w14:paraId="6EDBE738">
      <w:pPr>
        <w:rPr>
          <w:rFonts w:hint="eastAsia"/>
        </w:rPr>
      </w:pPr>
      <w:r>
        <w:rPr>
          <w:rFonts w:hint="eastAsia"/>
          <w:lang w:val="en-US" w:eastAsia="zh-CN"/>
        </w:rPr>
        <w:t>项目分2次</w:t>
      </w:r>
      <w:r>
        <w:rPr>
          <w:rFonts w:hint="eastAsia"/>
        </w:rPr>
        <w:t>进行服务考核，根据考核结果支付服务费用。具体如下：</w:t>
      </w:r>
    </w:p>
    <w:p w14:paraId="442FFB98">
      <w:pPr>
        <w:rPr>
          <w:rFonts w:hint="eastAsia"/>
        </w:rPr>
      </w:pPr>
      <w:r>
        <w:rPr>
          <w:rFonts w:hint="eastAsia"/>
        </w:rPr>
        <w:t>1、</w:t>
      </w:r>
      <w:r>
        <w:rPr>
          <w:rFonts w:hint="eastAsia"/>
          <w:lang w:val="en-US" w:eastAsia="zh-CN"/>
        </w:rPr>
        <w:t>2025年12月31日</w:t>
      </w:r>
      <w:bookmarkStart w:id="119" w:name="_GoBack"/>
      <w:bookmarkEnd w:id="119"/>
      <w:r>
        <w:rPr>
          <w:rFonts w:hint="eastAsia"/>
          <w:lang w:val="en-US" w:eastAsia="zh-CN"/>
        </w:rPr>
        <w:t>前</w:t>
      </w:r>
      <w:r>
        <w:rPr>
          <w:rFonts w:hint="eastAsia"/>
        </w:rPr>
        <w:t>：提供 202</w:t>
      </w:r>
      <w:r>
        <w:rPr>
          <w:rFonts w:hint="eastAsia"/>
          <w:lang w:val="en-US" w:eastAsia="zh-CN"/>
        </w:rPr>
        <w:t>5</w:t>
      </w:r>
      <w:r>
        <w:rPr>
          <w:rFonts w:hint="eastAsia"/>
        </w:rPr>
        <w:t>年等保测评证书</w:t>
      </w:r>
    </w:p>
    <w:p w14:paraId="0E351C58">
      <w:pPr>
        <w:rPr>
          <w:rFonts w:hint="eastAsia"/>
        </w:rPr>
      </w:pPr>
      <w:r>
        <w:rPr>
          <w:rFonts w:hint="eastAsia"/>
        </w:rPr>
        <w:t>2、</w:t>
      </w:r>
      <w:r>
        <w:rPr>
          <w:rFonts w:hint="eastAsia"/>
          <w:lang w:val="en-US" w:eastAsia="zh-CN"/>
        </w:rPr>
        <w:t>满24个月</w:t>
      </w:r>
      <w:r>
        <w:rPr>
          <w:rFonts w:hint="eastAsia"/>
        </w:rPr>
        <w:t>：提供202</w:t>
      </w:r>
      <w:r>
        <w:rPr>
          <w:rFonts w:hint="eastAsia"/>
          <w:lang w:val="en-US" w:eastAsia="zh-CN"/>
        </w:rPr>
        <w:t>5</w:t>
      </w:r>
      <w:r>
        <w:rPr>
          <w:rFonts w:hint="eastAsia"/>
        </w:rPr>
        <w:t>-202</w:t>
      </w:r>
      <w:r>
        <w:rPr>
          <w:rFonts w:hint="eastAsia"/>
          <w:lang w:val="en-US" w:eastAsia="zh-CN"/>
        </w:rPr>
        <w:t>6</w:t>
      </w:r>
      <w:r>
        <w:rPr>
          <w:rFonts w:hint="eastAsia"/>
        </w:rPr>
        <w:t>等保及安全运维服务总结报告（包括所含的所有服务）</w:t>
      </w:r>
    </w:p>
    <w:p w14:paraId="797A26DC">
      <w:pPr>
        <w:pStyle w:val="49"/>
        <w:spacing w:before="156" w:after="105"/>
        <w:ind w:firstLine="420"/>
        <w:jc w:val="both"/>
        <w:rPr>
          <w:rFonts w:hint="default" w:ascii="宋体" w:hAnsi="宋体" w:eastAsia="宋体" w:cs="宋体"/>
          <w:sz w:val="21"/>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Consolas">
    <w:panose1 w:val="020B0609020204030204"/>
    <w:charset w:val="00"/>
    <w:family w:val="modern"/>
    <w:pitch w:val="default"/>
    <w:sig w:usb0="E00006FF" w:usb1="0000FCFF" w:usb2="00000001" w:usb3="00000000" w:csb0="600001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7749034"/>
    </w:sdtPr>
    <w:sdtContent>
      <w:p w14:paraId="175C8CAE">
        <w:pPr>
          <w:pStyle w:val="9"/>
          <w:ind w:firstLine="480"/>
          <w:jc w:val="center"/>
        </w:pPr>
        <w:r>
          <w:fldChar w:fldCharType="begin"/>
        </w:r>
        <w:r>
          <w:instrText xml:space="preserve">PAGE   \* MERGEFORMAT</w:instrText>
        </w:r>
        <w:r>
          <w:fldChar w:fldCharType="separate"/>
        </w:r>
        <w:r>
          <w:rPr>
            <w:lang w:val="zh-CN"/>
          </w:rPr>
          <w:t>2</w:t>
        </w:r>
        <w:r>
          <w:fldChar w:fldCharType="end"/>
        </w:r>
      </w:p>
    </w:sdtContent>
  </w:sdt>
  <w:p w14:paraId="548DB604">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FC256D"/>
    <w:multiLevelType w:val="singleLevel"/>
    <w:tmpl w:val="E5FC256D"/>
    <w:lvl w:ilvl="0" w:tentative="0">
      <w:start w:val="1"/>
      <w:numFmt w:val="decimal"/>
      <w:pStyle w:val="30"/>
      <w:lvlText w:val="(%1)"/>
      <w:lvlJc w:val="left"/>
      <w:pPr>
        <w:ind w:left="665" w:hanging="425"/>
      </w:pPr>
      <w:rPr>
        <w:rFonts w:hint="default"/>
      </w:rPr>
    </w:lvl>
  </w:abstractNum>
  <w:abstractNum w:abstractNumId="1">
    <w:nsid w:val="FE77F07A"/>
    <w:multiLevelType w:val="multilevel"/>
    <w:tmpl w:val="FE77F07A"/>
    <w:lvl w:ilvl="0" w:tentative="0">
      <w:start w:val="1"/>
      <w:numFmt w:val="chineseCounting"/>
      <w:pStyle w:val="2"/>
      <w:suff w:val="nothing"/>
      <w:lvlText w:val="第%1章 "/>
      <w:lvlJc w:val="left"/>
      <w:pPr>
        <w:tabs>
          <w:tab w:val="left" w:pos="420"/>
        </w:tabs>
        <w:ind w:left="425" w:hanging="425"/>
      </w:pPr>
      <w:rPr>
        <w:rFonts w:hint="eastAsia" w:ascii="微软雅黑" w:hAnsi="微软雅黑" w:eastAsia="微软雅黑" w:cs="宋体"/>
      </w:rPr>
    </w:lvl>
    <w:lvl w:ilvl="1" w:tentative="0">
      <w:start w:val="1"/>
      <w:numFmt w:val="decimal"/>
      <w:pStyle w:val="3"/>
      <w:isLgl/>
      <w:lvlText w:val="%1.%2."/>
      <w:lvlJc w:val="left"/>
      <w:pPr>
        <w:tabs>
          <w:tab w:val="left" w:pos="420"/>
        </w:tabs>
        <w:ind w:left="567" w:hanging="567"/>
      </w:pPr>
    </w:lvl>
    <w:lvl w:ilvl="2" w:tentative="0">
      <w:start w:val="1"/>
      <w:numFmt w:val="decimal"/>
      <w:pStyle w:val="4"/>
      <w:isLgl/>
      <w:lvlText w:val="%1.%2.%3."/>
      <w:lvlJc w:val="left"/>
      <w:pPr>
        <w:ind w:left="709" w:hanging="709"/>
      </w:pPr>
      <w:rPr>
        <w:rFonts w:hint="eastAsia" w:ascii="微软雅黑" w:hAnsi="微软雅黑" w:eastAsia="微软雅黑" w:cs="宋体"/>
      </w:rPr>
    </w:lvl>
    <w:lvl w:ilvl="3" w:tentative="0">
      <w:start w:val="1"/>
      <w:numFmt w:val="decimal"/>
      <w:pStyle w:val="5"/>
      <w:isLgl/>
      <w:lvlText w:val="%1.%2.%3.%4."/>
      <w:lvlJc w:val="left"/>
      <w:pPr>
        <w:ind w:left="850" w:hanging="850"/>
      </w:pPr>
      <w:rPr>
        <w:rFonts w:hint="eastAsia" w:ascii="微软雅黑" w:hAnsi="微软雅黑" w:eastAsia="微软雅黑" w:cs="宋体"/>
      </w:rPr>
    </w:lvl>
    <w:lvl w:ilvl="4" w:tentative="0">
      <w:start w:val="1"/>
      <w:numFmt w:val="decimal"/>
      <w:pStyle w:val="6"/>
      <w:isLgl/>
      <w:lvlText w:val="%1.%2.%3.%4.%5."/>
      <w:lvlJc w:val="left"/>
      <w:pPr>
        <w:ind w:left="991" w:hanging="991"/>
      </w:pPr>
      <w:rPr>
        <w:rFonts w:hint="eastAsia" w:ascii="微软雅黑" w:hAnsi="微软雅黑" w:eastAsia="微软雅黑" w:cs="宋体"/>
        <w:sz w:val="24"/>
        <w:szCs w:val="24"/>
      </w:rPr>
    </w:lvl>
    <w:lvl w:ilvl="5" w:tentative="0">
      <w:start w:val="1"/>
      <w:numFmt w:val="decimal"/>
      <w:pStyle w:val="7"/>
      <w:isLgl/>
      <w:lvlText w:val="%1.%2.%3.%4.%5.%6."/>
      <w:lvlJc w:val="left"/>
      <w:pPr>
        <w:ind w:left="1134" w:hanging="1134"/>
      </w:pPr>
      <w:rPr>
        <w:rFonts w:hint="eastAsia" w:ascii="微软雅黑" w:hAnsi="微软雅黑" w:eastAsia="微软雅黑" w:cs="宋体"/>
      </w:rPr>
    </w:lvl>
    <w:lvl w:ilvl="6" w:tentative="0">
      <w:start w:val="1"/>
      <w:numFmt w:val="decimal"/>
      <w:isLgl/>
      <w:lvlText w:val="%1.%2.%3.%4.%5.%6.%7."/>
      <w:lvlJc w:val="left"/>
      <w:pPr>
        <w:ind w:left="1275" w:hanging="1275"/>
      </w:pPr>
      <w:rPr>
        <w:rFonts w:hint="eastAsia" w:ascii="宋体" w:hAnsi="宋体" w:eastAsia="宋体" w:cs="宋体"/>
      </w:rPr>
    </w:lvl>
    <w:lvl w:ilvl="7" w:tentative="0">
      <w:start w:val="1"/>
      <w:numFmt w:val="decimal"/>
      <w:isLgl/>
      <w:lvlText w:val="%1.%2.%3.%4.%5.%6.%7.%8."/>
      <w:lvlJc w:val="left"/>
      <w:pPr>
        <w:ind w:left="1418" w:hanging="1418"/>
      </w:pPr>
      <w:rPr>
        <w:rFonts w:hint="eastAsia" w:ascii="宋体" w:hAnsi="宋体" w:eastAsia="宋体" w:cs="宋体"/>
      </w:rPr>
    </w:lvl>
    <w:lvl w:ilvl="8" w:tentative="0">
      <w:start w:val="1"/>
      <w:numFmt w:val="decimal"/>
      <w:isLgl/>
      <w:lvlText w:val="%1.%2.%3.%4.%5.%6.%7.%8.%9."/>
      <w:lvlJc w:val="left"/>
      <w:pPr>
        <w:ind w:left="1558" w:hanging="1558"/>
      </w:pPr>
      <w:rPr>
        <w:rFonts w:hint="eastAsia" w:ascii="宋体" w:hAnsi="宋体" w:eastAsia="宋体" w:cs="宋体"/>
      </w:rPr>
    </w:lvl>
  </w:abstractNum>
  <w:abstractNum w:abstractNumId="2">
    <w:nsid w:val="05357E8B"/>
    <w:multiLevelType w:val="multilevel"/>
    <w:tmpl w:val="05357E8B"/>
    <w:lvl w:ilvl="0" w:tentative="0">
      <w:start w:val="1"/>
      <w:numFmt w:val="bullet"/>
      <w:pStyle w:val="28"/>
      <w:lvlText w:val=""/>
      <w:lvlJc w:val="left"/>
      <w:pPr>
        <w:ind w:left="420" w:hanging="420"/>
      </w:pPr>
      <w:rPr>
        <w:rFonts w:hint="default" w:ascii="Wingdings" w:hAnsi="Wingdings"/>
      </w:rPr>
    </w:lvl>
    <w:lvl w:ilvl="1" w:tentative="0">
      <w:start w:val="1"/>
      <w:numFmt w:val="bullet"/>
      <w:pStyle w:val="27"/>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080270B1"/>
    <w:multiLevelType w:val="multilevel"/>
    <w:tmpl w:val="080270B1"/>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4">
    <w:nsid w:val="19075AFB"/>
    <w:multiLevelType w:val="multilevel"/>
    <w:tmpl w:val="19075AFB"/>
    <w:lvl w:ilvl="0" w:tentative="0">
      <w:start w:val="1"/>
      <w:numFmt w:val="bullet"/>
      <w:lvlText w:val=""/>
      <w:lvlJc w:val="left"/>
      <w:pPr>
        <w:ind w:left="920" w:hanging="440"/>
      </w:pPr>
      <w:rPr>
        <w:rFonts w:hint="default" w:ascii="Wingdings" w:hAnsi="Wingdings"/>
      </w:rPr>
    </w:lvl>
    <w:lvl w:ilvl="1" w:tentative="0">
      <w:start w:val="1"/>
      <w:numFmt w:val="bullet"/>
      <w:lvlText w:val=""/>
      <w:lvlJc w:val="left"/>
      <w:pPr>
        <w:ind w:left="1360" w:hanging="440"/>
      </w:pPr>
      <w:rPr>
        <w:rFonts w:hint="default" w:ascii="Wingdings" w:hAnsi="Wingdings"/>
      </w:rPr>
    </w:lvl>
    <w:lvl w:ilvl="2" w:tentative="0">
      <w:start w:val="1"/>
      <w:numFmt w:val="bullet"/>
      <w:lvlText w:val=""/>
      <w:lvlJc w:val="left"/>
      <w:pPr>
        <w:ind w:left="1800" w:hanging="440"/>
      </w:pPr>
      <w:rPr>
        <w:rFonts w:hint="default" w:ascii="Wingdings" w:hAnsi="Wingdings"/>
      </w:rPr>
    </w:lvl>
    <w:lvl w:ilvl="3" w:tentative="0">
      <w:start w:val="1"/>
      <w:numFmt w:val="bullet"/>
      <w:lvlText w:val=""/>
      <w:lvlJc w:val="left"/>
      <w:pPr>
        <w:ind w:left="2240" w:hanging="440"/>
      </w:pPr>
      <w:rPr>
        <w:rFonts w:hint="default" w:ascii="Wingdings" w:hAnsi="Wingdings"/>
      </w:rPr>
    </w:lvl>
    <w:lvl w:ilvl="4" w:tentative="0">
      <w:start w:val="1"/>
      <w:numFmt w:val="bullet"/>
      <w:lvlText w:val=""/>
      <w:lvlJc w:val="left"/>
      <w:pPr>
        <w:ind w:left="2680" w:hanging="440"/>
      </w:pPr>
      <w:rPr>
        <w:rFonts w:hint="default" w:ascii="Wingdings" w:hAnsi="Wingdings"/>
      </w:rPr>
    </w:lvl>
    <w:lvl w:ilvl="5" w:tentative="0">
      <w:start w:val="1"/>
      <w:numFmt w:val="bullet"/>
      <w:lvlText w:val=""/>
      <w:lvlJc w:val="left"/>
      <w:pPr>
        <w:ind w:left="3120" w:hanging="440"/>
      </w:pPr>
      <w:rPr>
        <w:rFonts w:hint="default" w:ascii="Wingdings" w:hAnsi="Wingdings"/>
      </w:rPr>
    </w:lvl>
    <w:lvl w:ilvl="6" w:tentative="0">
      <w:start w:val="1"/>
      <w:numFmt w:val="bullet"/>
      <w:lvlText w:val=""/>
      <w:lvlJc w:val="left"/>
      <w:pPr>
        <w:ind w:left="3560" w:hanging="440"/>
      </w:pPr>
      <w:rPr>
        <w:rFonts w:hint="default" w:ascii="Wingdings" w:hAnsi="Wingdings"/>
      </w:rPr>
    </w:lvl>
    <w:lvl w:ilvl="7" w:tentative="0">
      <w:start w:val="1"/>
      <w:numFmt w:val="bullet"/>
      <w:lvlText w:val=""/>
      <w:lvlJc w:val="left"/>
      <w:pPr>
        <w:ind w:left="4000" w:hanging="440"/>
      </w:pPr>
      <w:rPr>
        <w:rFonts w:hint="default" w:ascii="Wingdings" w:hAnsi="Wingdings"/>
      </w:rPr>
    </w:lvl>
    <w:lvl w:ilvl="8" w:tentative="0">
      <w:start w:val="1"/>
      <w:numFmt w:val="bullet"/>
      <w:lvlText w:val=""/>
      <w:lvlJc w:val="left"/>
      <w:pPr>
        <w:ind w:left="4440" w:hanging="440"/>
      </w:pPr>
      <w:rPr>
        <w:rFonts w:hint="default" w:ascii="Wingdings" w:hAnsi="Wingdings"/>
      </w:rPr>
    </w:lvl>
  </w:abstractNum>
  <w:abstractNum w:abstractNumId="5">
    <w:nsid w:val="27B039F5"/>
    <w:multiLevelType w:val="multilevel"/>
    <w:tmpl w:val="27B039F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4154659D"/>
    <w:multiLevelType w:val="multilevel"/>
    <w:tmpl w:val="4154659D"/>
    <w:lvl w:ilvl="0" w:tentative="0">
      <w:start w:val="1"/>
      <w:numFmt w:val="decimal"/>
      <w:lvlText w:val="%1、"/>
      <w:lvlJc w:val="left"/>
      <w:pPr>
        <w:ind w:left="860" w:hanging="44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7">
    <w:nsid w:val="5AA70545"/>
    <w:multiLevelType w:val="multilevel"/>
    <w:tmpl w:val="5AA7054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
    <w:nsid w:val="61A25208"/>
    <w:multiLevelType w:val="multilevel"/>
    <w:tmpl w:val="61A25208"/>
    <w:lvl w:ilvl="0" w:tentative="0">
      <w:start w:val="1"/>
      <w:numFmt w:val="decimal"/>
      <w:suff w:val="spac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2035036"/>
    <w:multiLevelType w:val="singleLevel"/>
    <w:tmpl w:val="62035036"/>
    <w:lvl w:ilvl="0" w:tentative="0">
      <w:start w:val="1"/>
      <w:numFmt w:val="bullet"/>
      <w:lvlText w:val=""/>
      <w:lvlJc w:val="left"/>
      <w:pPr>
        <w:ind w:left="420" w:hanging="420"/>
      </w:pPr>
      <w:rPr>
        <w:rFonts w:hint="default" w:ascii="Wingdings" w:hAnsi="Wingdings"/>
      </w:rPr>
    </w:lvl>
  </w:abstractNum>
  <w:abstractNum w:abstractNumId="10">
    <w:nsid w:val="7C6C127F"/>
    <w:multiLevelType w:val="multilevel"/>
    <w:tmpl w:val="7C6C127F"/>
    <w:lvl w:ilvl="0" w:tentative="0">
      <w:start w:val="1"/>
      <w:numFmt w:val="decimal"/>
      <w:lvlText w:val="%1."/>
      <w:lvlJc w:val="left"/>
      <w:pPr>
        <w:ind w:left="860" w:hanging="440"/>
      </w:p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1"/>
  </w:num>
  <w:num w:numId="2">
    <w:abstractNumId w:val="2"/>
  </w:num>
  <w:num w:numId="3">
    <w:abstractNumId w:val="0"/>
  </w:num>
  <w:num w:numId="4">
    <w:abstractNumId w:val="5"/>
  </w:num>
  <w:num w:numId="5">
    <w:abstractNumId w:val="8"/>
  </w:num>
  <w:num w:numId="6">
    <w:abstractNumId w:val="10"/>
  </w:num>
  <w:num w:numId="7">
    <w:abstractNumId w:val="6"/>
  </w:num>
  <w:num w:numId="8">
    <w:abstractNumId w:val="4"/>
  </w:num>
  <w:num w:numId="9">
    <w:abstractNumId w:val="7"/>
  </w:num>
  <w:num w:numId="10">
    <w:abstractNumId w:val="3"/>
  </w:num>
  <w:num w:numId="11">
    <w:abstractNumId w:val="9"/>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ZhYzlkNmY1ZGRlNzVhOWFhNmNiMmZhMjZmNDdiNzIifQ=="/>
  </w:docVars>
  <w:rsids>
    <w:rsidRoot w:val="BAF37F3D"/>
    <w:rsid w:val="000007E1"/>
    <w:rsid w:val="0001662B"/>
    <w:rsid w:val="00042BA2"/>
    <w:rsid w:val="000A041E"/>
    <w:rsid w:val="00224EE0"/>
    <w:rsid w:val="002A76D7"/>
    <w:rsid w:val="003224E6"/>
    <w:rsid w:val="00396F31"/>
    <w:rsid w:val="003F0E8D"/>
    <w:rsid w:val="00415932"/>
    <w:rsid w:val="004842AD"/>
    <w:rsid w:val="00492787"/>
    <w:rsid w:val="004A6133"/>
    <w:rsid w:val="00562C3D"/>
    <w:rsid w:val="00567F44"/>
    <w:rsid w:val="00583330"/>
    <w:rsid w:val="005B5D60"/>
    <w:rsid w:val="005C1510"/>
    <w:rsid w:val="005D5B32"/>
    <w:rsid w:val="005F06CC"/>
    <w:rsid w:val="00641298"/>
    <w:rsid w:val="006C440F"/>
    <w:rsid w:val="006F6BC5"/>
    <w:rsid w:val="00842FC8"/>
    <w:rsid w:val="00854290"/>
    <w:rsid w:val="00855257"/>
    <w:rsid w:val="008B1F26"/>
    <w:rsid w:val="008B2742"/>
    <w:rsid w:val="00902E0A"/>
    <w:rsid w:val="00A66FCE"/>
    <w:rsid w:val="00AB444A"/>
    <w:rsid w:val="00AE0B9F"/>
    <w:rsid w:val="00AE343F"/>
    <w:rsid w:val="00AE7E7C"/>
    <w:rsid w:val="00B35F5E"/>
    <w:rsid w:val="00B616B4"/>
    <w:rsid w:val="00BF3AAF"/>
    <w:rsid w:val="00C064C9"/>
    <w:rsid w:val="00C24706"/>
    <w:rsid w:val="00C27393"/>
    <w:rsid w:val="00C8489B"/>
    <w:rsid w:val="00CE5D0B"/>
    <w:rsid w:val="00CF6719"/>
    <w:rsid w:val="00CF696E"/>
    <w:rsid w:val="00D2334B"/>
    <w:rsid w:val="00D46E20"/>
    <w:rsid w:val="00D517A5"/>
    <w:rsid w:val="00D935C9"/>
    <w:rsid w:val="00E3167E"/>
    <w:rsid w:val="00E7243D"/>
    <w:rsid w:val="00EF7BFD"/>
    <w:rsid w:val="00F537BB"/>
    <w:rsid w:val="00F71E3E"/>
    <w:rsid w:val="00FA6B47"/>
    <w:rsid w:val="015079C3"/>
    <w:rsid w:val="05DF268D"/>
    <w:rsid w:val="05E7626A"/>
    <w:rsid w:val="05FF6D8C"/>
    <w:rsid w:val="07B567B5"/>
    <w:rsid w:val="08B82BD2"/>
    <w:rsid w:val="0B3641F0"/>
    <w:rsid w:val="0C945416"/>
    <w:rsid w:val="14923346"/>
    <w:rsid w:val="14FA6DE7"/>
    <w:rsid w:val="23E8057D"/>
    <w:rsid w:val="2AEB1E60"/>
    <w:rsid w:val="2C631703"/>
    <w:rsid w:val="2F2635C6"/>
    <w:rsid w:val="2F685189"/>
    <w:rsid w:val="32D5476D"/>
    <w:rsid w:val="33513FA0"/>
    <w:rsid w:val="404A665F"/>
    <w:rsid w:val="4134505A"/>
    <w:rsid w:val="43114AF8"/>
    <w:rsid w:val="46080375"/>
    <w:rsid w:val="4EF332F1"/>
    <w:rsid w:val="518238B1"/>
    <w:rsid w:val="555426B4"/>
    <w:rsid w:val="5AB752E1"/>
    <w:rsid w:val="5B8D53A1"/>
    <w:rsid w:val="5C383F91"/>
    <w:rsid w:val="5CD94A48"/>
    <w:rsid w:val="5CED5B71"/>
    <w:rsid w:val="5F4B6079"/>
    <w:rsid w:val="61B66AF3"/>
    <w:rsid w:val="62340FAB"/>
    <w:rsid w:val="7166116E"/>
    <w:rsid w:val="7FAD0DDA"/>
    <w:rsid w:val="BAF37F3D"/>
    <w:rsid w:val="D9F7A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42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autoRedefine/>
    <w:qFormat/>
    <w:uiPriority w:val="9"/>
    <w:pPr>
      <w:keepNext/>
      <w:keepLines/>
      <w:numPr>
        <w:ilvl w:val="0"/>
        <w:numId w:val="1"/>
      </w:numPr>
      <w:tabs>
        <w:tab w:val="left" w:pos="0"/>
      </w:tabs>
      <w:spacing w:before="340" w:after="330"/>
      <w:jc w:val="left"/>
      <w:outlineLvl w:val="0"/>
    </w:pPr>
    <w:rPr>
      <w:rFonts w:ascii="微软雅黑" w:hAnsi="微软雅黑" w:eastAsia="微软雅黑"/>
      <w:b/>
      <w:kern w:val="44"/>
      <w:sz w:val="36"/>
    </w:rPr>
  </w:style>
  <w:style w:type="paragraph" w:styleId="3">
    <w:name w:val="heading 2"/>
    <w:basedOn w:val="1"/>
    <w:next w:val="1"/>
    <w:autoRedefine/>
    <w:unhideWhenUsed/>
    <w:qFormat/>
    <w:uiPriority w:val="9"/>
    <w:pPr>
      <w:keepNext/>
      <w:keepLines/>
      <w:numPr>
        <w:ilvl w:val="1"/>
        <w:numId w:val="1"/>
      </w:numPr>
      <w:tabs>
        <w:tab w:val="left" w:pos="0"/>
      </w:tabs>
      <w:spacing w:before="260" w:after="260"/>
      <w:outlineLvl w:val="1"/>
    </w:pPr>
    <w:rPr>
      <w:rFonts w:ascii="微软雅黑" w:hAnsi="微软雅黑" w:eastAsia="微软雅黑"/>
      <w:b/>
      <w:sz w:val="32"/>
      <w:lang w:eastAsia="zh-Hans"/>
    </w:rPr>
  </w:style>
  <w:style w:type="paragraph" w:styleId="4">
    <w:name w:val="heading 3"/>
    <w:basedOn w:val="1"/>
    <w:next w:val="1"/>
    <w:autoRedefine/>
    <w:unhideWhenUsed/>
    <w:qFormat/>
    <w:uiPriority w:val="9"/>
    <w:pPr>
      <w:keepNext/>
      <w:keepLines/>
      <w:numPr>
        <w:ilvl w:val="2"/>
        <w:numId w:val="1"/>
      </w:numPr>
      <w:tabs>
        <w:tab w:val="left" w:pos="420"/>
      </w:tabs>
      <w:spacing w:before="260" w:after="260" w:line="413" w:lineRule="auto"/>
      <w:outlineLvl w:val="2"/>
    </w:pPr>
    <w:rPr>
      <w:rFonts w:ascii="微软雅黑" w:hAnsi="微软雅黑" w:eastAsia="微软雅黑"/>
      <w:b/>
      <w:bCs/>
      <w:sz w:val="30"/>
      <w:szCs w:val="30"/>
    </w:rPr>
  </w:style>
  <w:style w:type="paragraph" w:styleId="5">
    <w:name w:val="heading 4"/>
    <w:basedOn w:val="1"/>
    <w:next w:val="1"/>
    <w:autoRedefine/>
    <w:unhideWhenUsed/>
    <w:qFormat/>
    <w:uiPriority w:val="9"/>
    <w:pPr>
      <w:keepNext/>
      <w:keepLines/>
      <w:numPr>
        <w:ilvl w:val="3"/>
        <w:numId w:val="1"/>
      </w:numPr>
      <w:tabs>
        <w:tab w:val="left" w:pos="420"/>
      </w:tabs>
      <w:spacing w:before="280" w:after="290" w:line="372" w:lineRule="auto"/>
      <w:outlineLvl w:val="3"/>
    </w:pPr>
    <w:rPr>
      <w:rFonts w:ascii="微软雅黑" w:hAnsi="微软雅黑" w:eastAsia="微软雅黑"/>
      <w:b/>
      <w:sz w:val="28"/>
      <w:szCs w:val="28"/>
    </w:rPr>
  </w:style>
  <w:style w:type="paragraph" w:styleId="6">
    <w:name w:val="heading 5"/>
    <w:basedOn w:val="1"/>
    <w:next w:val="1"/>
    <w:autoRedefine/>
    <w:unhideWhenUsed/>
    <w:qFormat/>
    <w:uiPriority w:val="9"/>
    <w:pPr>
      <w:keepNext/>
      <w:keepLines/>
      <w:numPr>
        <w:ilvl w:val="4"/>
        <w:numId w:val="1"/>
      </w:numPr>
      <w:tabs>
        <w:tab w:val="left" w:pos="420"/>
      </w:tabs>
      <w:spacing w:before="280" w:after="290" w:line="372" w:lineRule="auto"/>
      <w:outlineLvl w:val="4"/>
    </w:pPr>
    <w:rPr>
      <w:rFonts w:ascii="微软雅黑" w:hAnsi="微软雅黑" w:eastAsia="微软雅黑"/>
      <w:b/>
    </w:rPr>
  </w:style>
  <w:style w:type="paragraph" w:styleId="7">
    <w:name w:val="heading 6"/>
    <w:basedOn w:val="1"/>
    <w:next w:val="1"/>
    <w:autoRedefine/>
    <w:unhideWhenUsed/>
    <w:qFormat/>
    <w:uiPriority w:val="9"/>
    <w:pPr>
      <w:keepNext/>
      <w:keepLines/>
      <w:numPr>
        <w:ilvl w:val="5"/>
        <w:numId w:val="1"/>
      </w:numPr>
      <w:tabs>
        <w:tab w:val="left" w:pos="420"/>
      </w:tabs>
      <w:spacing w:before="240" w:after="64" w:line="317" w:lineRule="auto"/>
      <w:outlineLvl w:val="5"/>
    </w:pPr>
    <w:rPr>
      <w:rFonts w:ascii="微软雅黑" w:hAnsi="微软雅黑" w:eastAsia="微软雅黑"/>
      <w:b/>
      <w:sz w:val="21"/>
      <w:szCs w:val="21"/>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8">
    <w:name w:val="Normal Indent"/>
    <w:basedOn w:val="1"/>
    <w:link w:val="38"/>
    <w:autoRedefine/>
    <w:qFormat/>
    <w:uiPriority w:val="0"/>
    <w:pPr>
      <w:spacing w:before="156" w:beforeLines="50"/>
      <w:ind w:firstLine="480" w:firstLineChars="200"/>
    </w:pPr>
    <w:rPr>
      <w:rFonts w:ascii="Arial" w:hAnsi="Arial"/>
    </w:rPr>
  </w:style>
  <w:style w:type="paragraph" w:styleId="9">
    <w:name w:val="footer"/>
    <w:basedOn w:val="1"/>
    <w:link w:val="45"/>
    <w:autoRedefine/>
    <w:qFormat/>
    <w:uiPriority w:val="99"/>
    <w:pPr>
      <w:tabs>
        <w:tab w:val="center" w:pos="4153"/>
        <w:tab w:val="right" w:pos="8306"/>
      </w:tabs>
      <w:snapToGrid w:val="0"/>
      <w:jc w:val="left"/>
    </w:pPr>
    <w:rPr>
      <w:sz w:val="18"/>
    </w:rPr>
  </w:style>
  <w:style w:type="paragraph" w:styleId="10">
    <w:name w:val="header"/>
    <w:basedOn w:val="1"/>
    <w:link w:val="44"/>
    <w:qFormat/>
    <w:uiPriority w:val="0"/>
    <w:pPr>
      <w:tabs>
        <w:tab w:val="center" w:pos="4153"/>
        <w:tab w:val="right" w:pos="8306"/>
      </w:tabs>
      <w:snapToGrid w:val="0"/>
      <w:jc w:val="center"/>
    </w:pPr>
    <w:rPr>
      <w:sz w:val="18"/>
      <w:szCs w:val="18"/>
    </w:rPr>
  </w:style>
  <w:style w:type="paragraph" w:styleId="11">
    <w:name w:val="toc 1"/>
    <w:basedOn w:val="1"/>
    <w:next w:val="1"/>
    <w:autoRedefine/>
    <w:qFormat/>
    <w:uiPriority w:val="39"/>
  </w:style>
  <w:style w:type="paragraph" w:styleId="12">
    <w:name w:val="toc 2"/>
    <w:basedOn w:val="1"/>
    <w:next w:val="1"/>
    <w:autoRedefine/>
    <w:qFormat/>
    <w:uiPriority w:val="39"/>
    <w:pPr>
      <w:ind w:left="420" w:leftChars="200"/>
    </w:pPr>
  </w:style>
  <w:style w:type="paragraph" w:styleId="13">
    <w:name w:val="Normal (Web)"/>
    <w:basedOn w:val="1"/>
    <w:qFormat/>
    <w:uiPriority w:val="0"/>
    <w:pPr>
      <w:spacing w:beforeAutospacing="1" w:afterAutospacing="1"/>
      <w:jc w:val="left"/>
    </w:pPr>
    <w:rPr>
      <w:rFonts w:cs="Times New Roman"/>
      <w:kern w:val="0"/>
    </w:rPr>
  </w:style>
  <w:style w:type="paragraph" w:styleId="14">
    <w:name w:val="Title"/>
    <w:basedOn w:val="15"/>
    <w:autoRedefine/>
    <w:qFormat/>
    <w:uiPriority w:val="0"/>
    <w:pPr>
      <w:outlineLvl w:val="0"/>
    </w:pPr>
    <w:rPr>
      <w:rFonts w:eastAsia="黑体" w:cs="Arial"/>
      <w:b/>
      <w:bCs/>
      <w:sz w:val="52"/>
      <w:szCs w:val="32"/>
    </w:rPr>
  </w:style>
  <w:style w:type="paragraph" w:customStyle="1" w:styleId="15">
    <w:name w:val="正文（绿盟科技）"/>
    <w:autoRedefine/>
    <w:qFormat/>
    <w:uiPriority w:val="0"/>
    <w:pPr>
      <w:spacing w:line="300" w:lineRule="auto"/>
    </w:pPr>
    <w:rPr>
      <w:rFonts w:ascii="Arial" w:hAnsi="Arial" w:eastAsia="宋体" w:cs="Times New Roman"/>
      <w:sz w:val="21"/>
      <w:szCs w:val="21"/>
      <w:lang w:val="en-US" w:eastAsia="zh-CN" w:bidi="ar-SA"/>
    </w:rPr>
  </w:style>
  <w:style w:type="table" w:styleId="17">
    <w:name w:val="Table Grid"/>
    <w:basedOn w:val="1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Hyperlink"/>
    <w:basedOn w:val="18"/>
    <w:unhideWhenUsed/>
    <w:qFormat/>
    <w:uiPriority w:val="99"/>
    <w:rPr>
      <w:color w:val="0026E5" w:themeColor="hyperlink"/>
      <w:u w:val="single"/>
      <w14:textFill>
        <w14:solidFill>
          <w14:schemeClr w14:val="hlink"/>
        </w14:solidFill>
      </w14:textFill>
    </w:rPr>
  </w:style>
  <w:style w:type="paragraph" w:customStyle="1" w:styleId="22">
    <w:name w:val="正文3"/>
    <w:autoRedefine/>
    <w:qFormat/>
    <w:uiPriority w:val="0"/>
    <w:pPr>
      <w:spacing w:line="300" w:lineRule="auto"/>
    </w:pPr>
    <w:rPr>
      <w:rFonts w:ascii="Arial" w:hAnsi="Arial" w:eastAsia="宋体" w:cs="Times New Roman"/>
      <w:sz w:val="21"/>
      <w:szCs w:val="21"/>
      <w:lang w:val="en-US" w:eastAsia="zh-CN" w:bidi="ar-SA"/>
    </w:rPr>
  </w:style>
  <w:style w:type="paragraph" w:customStyle="1" w:styleId="23">
    <w:name w:val="正文1"/>
    <w:autoRedefine/>
    <w:qFormat/>
    <w:uiPriority w:val="0"/>
    <w:pPr>
      <w:spacing w:line="300" w:lineRule="auto"/>
    </w:pPr>
    <w:rPr>
      <w:rFonts w:ascii="Arial" w:hAnsi="Arial" w:eastAsia="宋体" w:cs="Times New Roman"/>
      <w:sz w:val="21"/>
      <w:szCs w:val="21"/>
      <w:lang w:val="en-US" w:eastAsia="zh-CN" w:bidi="ar-SA"/>
    </w:rPr>
  </w:style>
  <w:style w:type="paragraph" w:customStyle="1" w:styleId="24">
    <w:name w:val="正文首行缩进1"/>
    <w:basedOn w:val="23"/>
    <w:autoRedefine/>
    <w:qFormat/>
    <w:uiPriority w:val="0"/>
    <w:pPr>
      <w:spacing w:after="50" w:line="360" w:lineRule="auto"/>
      <w:ind w:firstLine="200" w:firstLineChars="200"/>
    </w:pPr>
    <w:rPr>
      <w:sz w:val="24"/>
    </w:rPr>
  </w:style>
  <w:style w:type="paragraph" w:customStyle="1" w:styleId="25">
    <w:name w:val="列出段落1"/>
    <w:basedOn w:val="1"/>
    <w:autoRedefine/>
    <w:qFormat/>
    <w:uiPriority w:val="34"/>
    <w:pPr>
      <w:widowControl/>
      <w:spacing w:line="240" w:lineRule="atLeast"/>
      <w:ind w:firstLine="200" w:firstLineChars="200"/>
    </w:pPr>
    <w:rPr>
      <w:rFonts w:ascii="Arial" w:hAnsi="Arial" w:eastAsia="宋体" w:cs="Times New Roman"/>
      <w:kern w:val="0"/>
      <w:szCs w:val="21"/>
    </w:rPr>
  </w:style>
  <w:style w:type="paragraph" w:customStyle="1" w:styleId="26">
    <w:name w:val="插图"/>
    <w:next w:val="24"/>
    <w:autoRedefine/>
    <w:qFormat/>
    <w:uiPriority w:val="0"/>
    <w:pPr>
      <w:spacing w:before="25" w:beforeLines="25" w:after="25" w:afterLines="25"/>
    </w:pPr>
    <w:rPr>
      <w:rFonts w:ascii="Arial" w:hAnsi="Arial" w:eastAsia="宋体" w:cs="Times New Roman"/>
      <w:sz w:val="21"/>
      <w:szCs w:val="21"/>
      <w:lang w:val="en-US" w:eastAsia="zh-CN" w:bidi="ar-SA"/>
    </w:rPr>
  </w:style>
  <w:style w:type="paragraph" w:customStyle="1" w:styleId="27">
    <w:name w:val="列表（符号二级）"/>
    <w:basedOn w:val="28"/>
    <w:autoRedefine/>
    <w:qFormat/>
    <w:uiPriority w:val="0"/>
    <w:pPr>
      <w:numPr>
        <w:ilvl w:val="1"/>
      </w:numPr>
    </w:pPr>
    <w:rPr>
      <w:b w:val="0"/>
    </w:rPr>
  </w:style>
  <w:style w:type="paragraph" w:customStyle="1" w:styleId="28">
    <w:name w:val="列表（符号一级）"/>
    <w:basedOn w:val="29"/>
    <w:autoRedefine/>
    <w:qFormat/>
    <w:uiPriority w:val="0"/>
    <w:pPr>
      <w:numPr>
        <w:ilvl w:val="0"/>
        <w:numId w:val="2"/>
      </w:numPr>
    </w:pPr>
    <w:rPr>
      <w:b/>
    </w:rPr>
  </w:style>
  <w:style w:type="paragraph" w:customStyle="1" w:styleId="29">
    <w:name w:val="正文（FF）"/>
    <w:autoRedefine/>
    <w:qFormat/>
    <w:uiPriority w:val="0"/>
    <w:pPr>
      <w:spacing w:line="300" w:lineRule="auto"/>
    </w:pPr>
    <w:rPr>
      <w:rFonts w:ascii="Arial" w:hAnsi="Arial" w:eastAsia="宋体" w:cs="Times New Roman"/>
      <w:sz w:val="21"/>
      <w:szCs w:val="21"/>
      <w:lang w:val="en-US" w:eastAsia="zh-CN" w:bidi="ar-SA"/>
    </w:rPr>
  </w:style>
  <w:style w:type="paragraph" w:customStyle="1" w:styleId="30">
    <w:name w:val="标题 4（绿盟科技）"/>
    <w:basedOn w:val="5"/>
    <w:next w:val="15"/>
    <w:autoRedefine/>
    <w:qFormat/>
    <w:uiPriority w:val="0"/>
    <w:pPr>
      <w:widowControl/>
      <w:numPr>
        <w:ilvl w:val="0"/>
        <w:numId w:val="3"/>
      </w:numPr>
      <w:spacing w:after="156" w:line="376" w:lineRule="auto"/>
      <w:jc w:val="left"/>
    </w:pPr>
    <w:rPr>
      <w:rFonts w:ascii="宋体" w:hAnsi="宋体" w:eastAsia="宋体" w:cs="Times New Roman"/>
      <w:kern w:val="0"/>
      <w:sz w:val="24"/>
      <w:szCs w:val="24"/>
    </w:rPr>
  </w:style>
  <w:style w:type="paragraph" w:customStyle="1" w:styleId="31">
    <w:name w:val="正文首行缩进2"/>
    <w:basedOn w:val="32"/>
    <w:autoRedefine/>
    <w:qFormat/>
    <w:uiPriority w:val="0"/>
    <w:pPr>
      <w:spacing w:after="50"/>
      <w:ind w:firstLine="200" w:firstLineChars="200"/>
    </w:pPr>
  </w:style>
  <w:style w:type="paragraph" w:customStyle="1" w:styleId="32">
    <w:name w:val="正文2"/>
    <w:autoRedefine/>
    <w:qFormat/>
    <w:uiPriority w:val="0"/>
    <w:pPr>
      <w:spacing w:line="300" w:lineRule="auto"/>
    </w:pPr>
    <w:rPr>
      <w:rFonts w:ascii="Arial" w:hAnsi="Arial" w:eastAsia="宋体" w:cs="Times New Roman"/>
      <w:sz w:val="21"/>
      <w:szCs w:val="21"/>
      <w:lang w:val="en-US" w:eastAsia="zh-CN" w:bidi="ar-SA"/>
    </w:rPr>
  </w:style>
  <w:style w:type="paragraph" w:customStyle="1" w:styleId="33">
    <w:name w:val="表格标题小五"/>
    <w:basedOn w:val="29"/>
    <w:autoRedefine/>
    <w:qFormat/>
    <w:uiPriority w:val="0"/>
    <w:pPr>
      <w:jc w:val="center"/>
    </w:pPr>
    <w:rPr>
      <w:b/>
      <w:sz w:val="18"/>
      <w:szCs w:val="18"/>
    </w:rPr>
  </w:style>
  <w:style w:type="paragraph" w:customStyle="1" w:styleId="34">
    <w:name w:val="表格小五"/>
    <w:basedOn w:val="1"/>
    <w:autoRedefine/>
    <w:qFormat/>
    <w:uiPriority w:val="0"/>
    <w:rPr>
      <w:sz w:val="18"/>
      <w:szCs w:val="18"/>
    </w:rPr>
  </w:style>
  <w:style w:type="paragraph" w:customStyle="1" w:styleId="35">
    <w:name w:val="列表（符号二级2"/>
    <w:basedOn w:val="36"/>
    <w:autoRedefine/>
    <w:qFormat/>
    <w:uiPriority w:val="0"/>
    <w:pPr>
      <w:tabs>
        <w:tab w:val="left" w:pos="420"/>
      </w:tabs>
      <w:ind w:left="575" w:hanging="575"/>
    </w:pPr>
    <w:rPr>
      <w:b w:val="0"/>
    </w:rPr>
  </w:style>
  <w:style w:type="paragraph" w:customStyle="1" w:styleId="36">
    <w:name w:val="列表（符号一级）2"/>
    <w:basedOn w:val="32"/>
    <w:autoRedefine/>
    <w:qFormat/>
    <w:uiPriority w:val="0"/>
    <w:pPr>
      <w:tabs>
        <w:tab w:val="left" w:pos="420"/>
      </w:tabs>
      <w:ind w:left="432" w:hanging="432"/>
    </w:pPr>
    <w:rPr>
      <w:b/>
    </w:rPr>
  </w:style>
  <w:style w:type="paragraph" w:styleId="37">
    <w:name w:val="List Paragraph"/>
    <w:basedOn w:val="1"/>
    <w:autoRedefine/>
    <w:qFormat/>
    <w:uiPriority w:val="99"/>
    <w:pPr>
      <w:ind w:firstLine="200" w:firstLineChars="200"/>
    </w:pPr>
  </w:style>
  <w:style w:type="character" w:customStyle="1" w:styleId="38">
    <w:name w:val="正文缩进 字符"/>
    <w:basedOn w:val="18"/>
    <w:link w:val="8"/>
    <w:autoRedefine/>
    <w:qFormat/>
    <w:uiPriority w:val="0"/>
    <w:rPr>
      <w:rFonts w:ascii="Arial" w:hAnsi="Arial"/>
      <w:sz w:val="24"/>
    </w:rPr>
  </w:style>
  <w:style w:type="paragraph" w:customStyle="1" w:styleId="39">
    <w:name w:val="正文首行缩进（绿盟科技）"/>
    <w:basedOn w:val="15"/>
    <w:autoRedefine/>
    <w:qFormat/>
    <w:uiPriority w:val="0"/>
    <w:pPr>
      <w:spacing w:after="50"/>
      <w:ind w:firstLine="200" w:firstLineChars="200"/>
    </w:pPr>
  </w:style>
  <w:style w:type="paragraph" w:customStyle="1" w:styleId="40">
    <w:name w:val="WPSOffice手动目录 1"/>
    <w:autoRedefine/>
    <w:qFormat/>
    <w:uiPriority w:val="0"/>
    <w:rPr>
      <w:rFonts w:asciiTheme="minorHAnsi" w:hAnsiTheme="minorHAnsi" w:eastAsiaTheme="minorEastAsia" w:cstheme="minorBidi"/>
      <w:lang w:val="en-US" w:eastAsia="zh-CN" w:bidi="ar-SA"/>
    </w:rPr>
  </w:style>
  <w:style w:type="paragraph" w:customStyle="1" w:styleId="41">
    <w:name w:val="WPSOffice手动目录 2"/>
    <w:autoRedefine/>
    <w:qFormat/>
    <w:uiPriority w:val="0"/>
    <w:pPr>
      <w:ind w:left="200" w:leftChars="200"/>
    </w:pPr>
    <w:rPr>
      <w:rFonts w:asciiTheme="minorHAnsi" w:hAnsiTheme="minorHAnsi" w:eastAsiaTheme="minorEastAsia" w:cstheme="minorBidi"/>
      <w:lang w:val="en-US" w:eastAsia="zh-CN" w:bidi="ar-SA"/>
    </w:rPr>
  </w:style>
  <w:style w:type="paragraph" w:customStyle="1" w:styleId="42">
    <w:name w:val="XXN正文"/>
    <w:basedOn w:val="1"/>
    <w:autoRedefine/>
    <w:qFormat/>
    <w:uiPriority w:val="0"/>
    <w:pPr>
      <w:ind w:firstLine="200" w:firstLineChars="200"/>
    </w:pPr>
    <w:rPr>
      <w:rFonts w:ascii="宋体" w:hAnsi="宋体" w:eastAsia="宋体"/>
    </w:rPr>
  </w:style>
  <w:style w:type="paragraph" w:customStyle="1" w:styleId="43">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44">
    <w:name w:val="页眉 字符"/>
    <w:basedOn w:val="18"/>
    <w:link w:val="10"/>
    <w:qFormat/>
    <w:uiPriority w:val="0"/>
    <w:rPr>
      <w:rFonts w:asciiTheme="minorHAnsi" w:hAnsiTheme="minorHAnsi" w:eastAsiaTheme="minorEastAsia" w:cstheme="minorBidi"/>
      <w:kern w:val="2"/>
      <w:sz w:val="18"/>
      <w:szCs w:val="18"/>
    </w:rPr>
  </w:style>
  <w:style w:type="character" w:customStyle="1" w:styleId="45">
    <w:name w:val="页脚 字符"/>
    <w:basedOn w:val="18"/>
    <w:link w:val="9"/>
    <w:qFormat/>
    <w:uiPriority w:val="99"/>
    <w:rPr>
      <w:rFonts w:asciiTheme="minorHAnsi" w:hAnsiTheme="minorHAnsi" w:eastAsiaTheme="minorEastAsia" w:cstheme="minorBidi"/>
      <w:kern w:val="2"/>
      <w:sz w:val="18"/>
      <w:szCs w:val="24"/>
    </w:rPr>
  </w:style>
  <w:style w:type="character" w:customStyle="1" w:styleId="46">
    <w:name w:val="font21"/>
    <w:basedOn w:val="18"/>
    <w:qFormat/>
    <w:uiPriority w:val="0"/>
    <w:rPr>
      <w:rFonts w:hint="eastAsia" w:ascii="宋体" w:hAnsi="宋体" w:eastAsia="宋体" w:cs="宋体"/>
      <w:color w:val="FF0000"/>
      <w:sz w:val="22"/>
      <w:szCs w:val="22"/>
      <w:u w:val="none"/>
    </w:rPr>
  </w:style>
  <w:style w:type="character" w:customStyle="1" w:styleId="47">
    <w:name w:val="font01"/>
    <w:basedOn w:val="18"/>
    <w:qFormat/>
    <w:uiPriority w:val="0"/>
    <w:rPr>
      <w:rFonts w:hint="eastAsia" w:ascii="宋体" w:hAnsi="宋体" w:eastAsia="宋体" w:cs="宋体"/>
      <w:color w:val="000000"/>
      <w:sz w:val="22"/>
      <w:szCs w:val="22"/>
      <w:u w:val="none"/>
    </w:rPr>
  </w:style>
  <w:style w:type="character" w:customStyle="1" w:styleId="48">
    <w:name w:val="font41"/>
    <w:basedOn w:val="18"/>
    <w:qFormat/>
    <w:uiPriority w:val="0"/>
    <w:rPr>
      <w:rFonts w:hint="eastAsia" w:ascii="宋体" w:hAnsi="宋体" w:eastAsia="宋体" w:cs="宋体"/>
      <w:b/>
      <w:bCs/>
      <w:color w:val="FF0000"/>
      <w:sz w:val="22"/>
      <w:szCs w:val="22"/>
      <w:u w:val="none"/>
    </w:rPr>
  </w:style>
  <w:style w:type="paragraph" w:customStyle="1" w:styleId="49">
    <w:name w:val="null3"/>
    <w:hidden/>
    <w:qFormat/>
    <w:uiPriority w:val="0"/>
    <w:rPr>
      <w:rFonts w:hint="eastAsia" w:asciiTheme="minorHAnsi" w:hAnsiTheme="minorHAnsi" w:eastAsiaTheme="minorEastAsia" w:cstheme="minorBidi"/>
      <w:lang w:val="en-US" w:eastAsia="zh-Hans" w:bidi="ar-SA"/>
    </w:rPr>
  </w:style>
  <w:style w:type="paragraph" w:customStyle="1" w:styleId="50">
    <w:name w:val="列表段落1"/>
    <w:basedOn w:val="1"/>
    <w:qFormat/>
    <w:uiPriority w:val="99"/>
    <w:pPr>
      <w:spacing w:line="240" w:lineRule="auto"/>
      <w:ind w:firstLine="200" w:firstLineChars="200"/>
    </w:pPr>
    <w:rPr>
      <w:rFonts w:ascii="等线" w:hAnsi="等线" w:eastAsia="等线" w:cs="Times New Roman"/>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064A5-844A-4CB2-BC59-5685B29FDF73}">
  <ds:schemaRefs/>
</ds:datastoreItem>
</file>

<file path=docProps/app.xml><?xml version="1.0" encoding="utf-8"?>
<Properties xmlns="http://schemas.openxmlformats.org/officeDocument/2006/extended-properties" xmlns:vt="http://schemas.openxmlformats.org/officeDocument/2006/docPropsVTypes">
  <Template>Normal.dotm</Template>
  <Pages>25</Pages>
  <Words>12789</Words>
  <Characters>13124</Characters>
  <Lines>95</Lines>
  <Paragraphs>26</Paragraphs>
  <TotalTime>5</TotalTime>
  <ScaleCrop>false</ScaleCrop>
  <LinksUpToDate>false</LinksUpToDate>
  <CharactersWithSpaces>13146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2025-02-27T02:00:00Z</dcterms:created>
  <dc:creator>天然丶呆</dc:creator>
  <cp:lastModifiedBy>郑怀宇</cp:lastModifiedBy>
  <cp:lastPrinted>2024-10-08T10:46:00Z</cp:lastPrinted>
  <dcterms:modified xsi:type="dcterms:W3CDTF">2025-02-27T09:56:29Z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F67D2719CD7C49F4890D9441CE1C8A18_13</vt:lpwstr>
  </property>
  <property fmtid="{D5CDD505-2E9C-101B-9397-08002B2CF9AE}" pid="4" name="KSOTemplateDocerSaveRecord">
    <vt:lpwstr>eyJoZGlkIjoiYWRhYWU1MjY0NjgwNDJjN2YzNTNmMTkyMmU2MzQzNjYiLCJ1c2VySWQiOiIxNDcxNTg3NDEzIn0=</vt:lpwstr>
  </property>
</Properties>
</file>