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" w:hAnsi="仿宋" w:eastAsia="仿宋" w:cs="宋体"/>
          <w:b/>
          <w:color w:val="000000"/>
          <w:sz w:val="28"/>
          <w:szCs w:val="28"/>
        </w:rPr>
      </w:pPr>
      <w:r>
        <w:rPr>
          <w:rFonts w:hint="eastAsia" w:ascii="仿宋" w:hAnsi="仿宋" w:eastAsia="仿宋" w:cs="宋体"/>
          <w:b/>
          <w:color w:val="000000"/>
          <w:sz w:val="28"/>
          <w:szCs w:val="28"/>
        </w:rPr>
        <w:t>附件</w:t>
      </w:r>
      <w:r>
        <w:rPr>
          <w:rFonts w:ascii="仿宋" w:hAnsi="仿宋" w:eastAsia="仿宋" w:cs="宋体"/>
          <w:b/>
          <w:color w:val="000000"/>
          <w:sz w:val="28"/>
          <w:szCs w:val="28"/>
        </w:rPr>
        <w:t>3</w:t>
      </w:r>
      <w:r>
        <w:rPr>
          <w:rFonts w:hint="eastAsia" w:ascii="仿宋" w:hAnsi="仿宋" w:eastAsia="仿宋" w:cs="宋体"/>
          <w:b/>
          <w:color w:val="000000"/>
          <w:sz w:val="28"/>
          <w:szCs w:val="28"/>
        </w:rPr>
        <w:t>：</w:t>
      </w:r>
    </w:p>
    <w:p>
      <w:pPr>
        <w:spacing w:after="240" w:line="520" w:lineRule="exact"/>
        <w:ind w:firstLine="723" w:firstLineChars="200"/>
        <w:jc w:val="center"/>
        <w:rPr>
          <w:rFonts w:ascii="仿宋" w:hAnsi="仿宋" w:eastAsia="仿宋" w:cs="Times New Roman"/>
          <w:b/>
          <w:sz w:val="36"/>
          <w:szCs w:val="24"/>
        </w:rPr>
      </w:pPr>
      <w:r>
        <w:rPr>
          <w:rFonts w:hint="eastAsia" w:ascii="仿宋" w:hAnsi="仿宋" w:eastAsia="仿宋" w:cs="Times New Roman"/>
          <w:b/>
          <w:sz w:val="36"/>
          <w:szCs w:val="24"/>
        </w:rPr>
        <w:t>评分标准</w:t>
      </w:r>
    </w:p>
    <w:p>
      <w:pPr>
        <w:widowControl/>
        <w:shd w:val="clear" w:color="auto" w:fill="FFFFFF"/>
        <w:spacing w:after="150" w:line="525" w:lineRule="atLeast"/>
        <w:ind w:firstLine="480"/>
        <w:rPr>
          <w:rFonts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kern w:val="0"/>
          <w:sz w:val="24"/>
          <w:szCs w:val="24"/>
        </w:rPr>
        <w:t>本次福建中医药大学河洛</w:t>
      </w:r>
      <w:r>
        <w:rPr>
          <w:rFonts w:ascii="仿宋" w:hAnsi="仿宋" w:eastAsia="仿宋" w:cs="宋体"/>
          <w:kern w:val="0"/>
          <w:sz w:val="24"/>
          <w:szCs w:val="24"/>
        </w:rPr>
        <w:t>(</w:t>
      </w:r>
      <w:r>
        <w:rPr>
          <w:rFonts w:hint="eastAsia" w:ascii="仿宋" w:hAnsi="仿宋" w:eastAsia="仿宋" w:cs="宋体"/>
          <w:kern w:val="0"/>
          <w:sz w:val="24"/>
          <w:szCs w:val="24"/>
        </w:rPr>
        <w:t>易筋经</w:t>
      </w:r>
      <w:r>
        <w:rPr>
          <w:rFonts w:ascii="仿宋" w:hAnsi="仿宋" w:eastAsia="仿宋" w:cs="宋体"/>
          <w:kern w:val="0"/>
          <w:sz w:val="24"/>
          <w:szCs w:val="24"/>
        </w:rPr>
        <w:t>)动画制作项目</w:t>
      </w:r>
      <w:r>
        <w:rPr>
          <w:rFonts w:hint="eastAsia" w:ascii="仿宋" w:hAnsi="仿宋" w:eastAsia="仿宋" w:cs="宋体"/>
          <w:kern w:val="0"/>
          <w:sz w:val="24"/>
          <w:szCs w:val="24"/>
        </w:rPr>
        <w:t>（以下简称：“本项目”）采用</w:t>
      </w:r>
      <w:r>
        <w:rPr>
          <w:rFonts w:hint="eastAsia" w:ascii="仿宋" w:hAnsi="仿宋" w:eastAsia="仿宋" w:cs="宋体"/>
          <w:b/>
          <w:bCs/>
          <w:kern w:val="0"/>
          <w:sz w:val="24"/>
          <w:szCs w:val="24"/>
        </w:rPr>
        <w:t>综合评分法</w:t>
      </w:r>
      <w:r>
        <w:rPr>
          <w:rFonts w:hint="eastAsia" w:ascii="仿宋" w:hAnsi="仿宋" w:eastAsia="仿宋" w:cs="宋体"/>
          <w:kern w:val="0"/>
          <w:sz w:val="24"/>
          <w:szCs w:val="24"/>
        </w:rPr>
        <w:t>方式组织评审。评审专家组</w:t>
      </w:r>
      <w:r>
        <w:rPr>
          <w:rFonts w:hint="eastAsia" w:ascii="仿宋" w:hAnsi="仿宋" w:eastAsia="仿宋" w:cs="宋体"/>
          <w:sz w:val="24"/>
          <w:szCs w:val="24"/>
        </w:rPr>
        <w:t>将对相应合同包提交最后报价的合格供应商从报价、技术及商务部分分别进行评议并评分，并汇总出报价、技术及商务部分的综合得分。</w:t>
      </w:r>
    </w:p>
    <w:p>
      <w:pPr>
        <w:widowControl/>
        <w:shd w:val="clear" w:color="auto" w:fill="FFFFFF"/>
        <w:spacing w:after="150" w:line="525" w:lineRule="atLeast"/>
        <w:ind w:firstLine="480"/>
        <w:rPr>
          <w:rFonts w:ascii="仿宋" w:hAnsi="仿宋" w:eastAsia="仿宋" w:cs="宋体"/>
          <w:kern w:val="0"/>
          <w:szCs w:val="21"/>
        </w:rPr>
      </w:pPr>
      <w:r>
        <w:rPr>
          <w:rFonts w:hint="eastAsia" w:ascii="仿宋" w:hAnsi="仿宋" w:eastAsia="仿宋" w:cs="宋体"/>
          <w:sz w:val="24"/>
          <w:szCs w:val="24"/>
        </w:rPr>
        <w:t>如果出现相同的综合得分，则技术部分得分高的供应商优先排序在前推荐。</w:t>
      </w:r>
    </w:p>
    <w:p>
      <w:pPr>
        <w:pStyle w:val="18"/>
        <w:widowControl/>
        <w:numPr>
          <w:ilvl w:val="0"/>
          <w:numId w:val="1"/>
        </w:numPr>
        <w:shd w:val="clear" w:color="auto" w:fill="FFFFFF"/>
        <w:spacing w:after="150" w:line="525" w:lineRule="atLeast"/>
        <w:ind w:firstLineChars="0"/>
        <w:rPr>
          <w:rFonts w:ascii="仿宋" w:hAnsi="仿宋" w:eastAsia="仿宋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 w:val="24"/>
          <w:szCs w:val="24"/>
        </w:rPr>
        <w:t>投标文件满足招标文件全部实质性要求，且按照评审因素的量化指标评审得分（即评标总得分）最高的投标人为中标候选人。</w:t>
      </w:r>
    </w:p>
    <w:p>
      <w:pPr>
        <w:pStyle w:val="18"/>
        <w:widowControl/>
        <w:numPr>
          <w:ilvl w:val="0"/>
          <w:numId w:val="1"/>
        </w:numPr>
        <w:shd w:val="clear" w:color="auto" w:fill="FFFFFF"/>
        <w:spacing w:after="150" w:line="525" w:lineRule="atLeast"/>
        <w:ind w:firstLineChars="0"/>
        <w:rPr>
          <w:rFonts w:ascii="仿宋" w:hAnsi="仿宋" w:eastAsia="仿宋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 w:val="24"/>
          <w:szCs w:val="24"/>
        </w:rPr>
        <w:t xml:space="preserve">每个投标人的评标总得分FA＝F1＋F2＋F3，其中：F1指价格项评审因素得分、F2指技术项评审因素得分、F3指商务项评审因素得分， </w:t>
      </w:r>
      <w:r>
        <w:rPr>
          <w:rFonts w:ascii="仿宋" w:hAnsi="仿宋" w:eastAsia="仿宋" w:cs="宋体"/>
          <w:kern w:val="0"/>
          <w:sz w:val="24"/>
          <w:szCs w:val="24"/>
        </w:rPr>
        <w:t>F</w:t>
      </w:r>
      <w:r>
        <w:rPr>
          <w:rFonts w:hint="eastAsia" w:ascii="仿宋" w:hAnsi="仿宋" w:eastAsia="仿宋" w:cs="宋体"/>
          <w:kern w:val="0"/>
          <w:sz w:val="24"/>
          <w:szCs w:val="24"/>
        </w:rPr>
        <w:t>1+</w:t>
      </w:r>
      <w:r>
        <w:rPr>
          <w:rFonts w:ascii="仿宋" w:hAnsi="仿宋" w:eastAsia="仿宋" w:cs="宋体"/>
          <w:kern w:val="0"/>
          <w:sz w:val="24"/>
          <w:szCs w:val="24"/>
        </w:rPr>
        <w:t>F</w:t>
      </w:r>
      <w:r>
        <w:rPr>
          <w:rFonts w:hint="eastAsia" w:ascii="仿宋" w:hAnsi="仿宋" w:eastAsia="仿宋" w:cs="宋体"/>
          <w:kern w:val="0"/>
          <w:sz w:val="24"/>
          <w:szCs w:val="24"/>
        </w:rPr>
        <w:t>2+</w:t>
      </w:r>
      <w:r>
        <w:rPr>
          <w:rFonts w:ascii="仿宋" w:hAnsi="仿宋" w:eastAsia="仿宋" w:cs="宋体"/>
          <w:kern w:val="0"/>
          <w:sz w:val="24"/>
          <w:szCs w:val="24"/>
        </w:rPr>
        <w:t>F</w:t>
      </w:r>
      <w:r>
        <w:rPr>
          <w:rFonts w:hint="eastAsia" w:ascii="仿宋" w:hAnsi="仿宋" w:eastAsia="仿宋" w:cs="宋体"/>
          <w:kern w:val="0"/>
          <w:sz w:val="24"/>
          <w:szCs w:val="24"/>
        </w:rPr>
        <w:t>3=1</w:t>
      </w:r>
      <w:r>
        <w:rPr>
          <w:rFonts w:ascii="仿宋" w:hAnsi="仿宋" w:eastAsia="仿宋" w:cs="宋体"/>
          <w:kern w:val="0"/>
          <w:sz w:val="24"/>
          <w:szCs w:val="24"/>
        </w:rPr>
        <w:t>00</w:t>
      </w:r>
      <w:r>
        <w:rPr>
          <w:rFonts w:hint="eastAsia" w:ascii="仿宋" w:hAnsi="仿宋" w:eastAsia="仿宋" w:cs="宋体"/>
          <w:kern w:val="0"/>
          <w:sz w:val="24"/>
          <w:szCs w:val="24"/>
        </w:rPr>
        <w:t>分（满分时）。</w:t>
      </w:r>
    </w:p>
    <w:p>
      <w:pPr>
        <w:pStyle w:val="18"/>
        <w:widowControl/>
        <w:numPr>
          <w:ilvl w:val="0"/>
          <w:numId w:val="1"/>
        </w:numPr>
        <w:shd w:val="clear" w:color="auto" w:fill="FFFFFF"/>
        <w:spacing w:after="150" w:line="525" w:lineRule="atLeast"/>
        <w:ind w:firstLineChars="0"/>
        <w:rPr>
          <w:rFonts w:ascii="仿宋" w:hAnsi="仿宋" w:eastAsia="仿宋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 w:val="24"/>
          <w:szCs w:val="24"/>
        </w:rPr>
        <w:t>各项评审因素的设置如下：</w:t>
      </w:r>
    </w:p>
    <w:p>
      <w:pPr>
        <w:pStyle w:val="18"/>
        <w:widowControl/>
        <w:numPr>
          <w:ilvl w:val="0"/>
          <w:numId w:val="2"/>
        </w:numPr>
        <w:shd w:val="clear" w:color="auto" w:fill="FFFFFF"/>
        <w:spacing w:line="525" w:lineRule="atLeast"/>
        <w:ind w:firstLineChars="0"/>
        <w:rPr>
          <w:rFonts w:ascii="仿宋" w:hAnsi="仿宋" w:eastAsia="仿宋" w:cs="宋体"/>
          <w:kern w:val="0"/>
          <w:szCs w:val="21"/>
        </w:rPr>
      </w:pPr>
      <w:r>
        <w:rPr>
          <w:rFonts w:hint="eastAsia" w:ascii="仿宋" w:hAnsi="仿宋" w:eastAsia="仿宋" w:cs="宋体"/>
          <w:b/>
          <w:bCs/>
          <w:kern w:val="0"/>
          <w:sz w:val="24"/>
          <w:szCs w:val="24"/>
        </w:rPr>
        <w:t>价格项（F1）满分为</w:t>
      </w:r>
      <w:r>
        <w:rPr>
          <w:rFonts w:ascii="仿宋" w:hAnsi="仿宋" w:eastAsia="仿宋" w:cs="宋体"/>
          <w:b/>
          <w:bCs/>
          <w:kern w:val="0"/>
          <w:sz w:val="24"/>
          <w:szCs w:val="24"/>
        </w:rPr>
        <w:t>40</w:t>
      </w:r>
      <w:r>
        <w:rPr>
          <w:rFonts w:hint="eastAsia" w:ascii="仿宋" w:hAnsi="仿宋" w:eastAsia="仿宋" w:cs="宋体"/>
          <w:b/>
          <w:bCs/>
          <w:kern w:val="0"/>
          <w:sz w:val="24"/>
          <w:szCs w:val="24"/>
        </w:rPr>
        <w:t>分。</w:t>
      </w:r>
    </w:p>
    <w:p>
      <w:pPr>
        <w:widowControl/>
        <w:shd w:val="clear" w:color="auto" w:fill="FFFFFF"/>
        <w:spacing w:line="525" w:lineRule="atLeast"/>
        <w:ind w:firstLine="480"/>
        <w:rPr>
          <w:rFonts w:ascii="仿宋" w:hAnsi="仿宋" w:eastAsia="仿宋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kern w:val="0"/>
          <w:sz w:val="24"/>
          <w:szCs w:val="24"/>
        </w:rPr>
        <w:t>价格分采用平均价优先法计算，计算数值</w:t>
      </w:r>
      <w:r>
        <w:rPr>
          <w:rFonts w:ascii="仿宋" w:hAnsi="仿宋" w:eastAsia="仿宋" w:cs="宋体"/>
          <w:kern w:val="0"/>
          <w:sz w:val="24"/>
          <w:szCs w:val="24"/>
        </w:rPr>
        <w:t xml:space="preserve"> (保留两位小数) =40-(A-B)</w:t>
      </w:r>
      <w:r>
        <w:rPr>
          <w:rFonts w:hint="eastAsia" w:ascii="仿宋" w:hAnsi="仿宋" w:eastAsia="仿宋" w:cs="宋体"/>
          <w:kern w:val="0"/>
          <w:sz w:val="24"/>
          <w:szCs w:val="24"/>
        </w:rPr>
        <w:t>/</w:t>
      </w:r>
      <w:r>
        <w:rPr>
          <w:rFonts w:ascii="仿宋" w:hAnsi="仿宋" w:eastAsia="仿宋" w:cs="宋体"/>
          <w:kern w:val="0"/>
          <w:sz w:val="24"/>
          <w:szCs w:val="24"/>
        </w:rPr>
        <w:t>B*Q</w:t>
      </w:r>
      <w:r>
        <w:rPr>
          <w:rFonts w:hint="eastAsia" w:ascii="仿宋" w:hAnsi="仿宋" w:eastAsia="仿宋" w:cs="宋体"/>
          <w:kern w:val="0"/>
          <w:sz w:val="24"/>
          <w:szCs w:val="24"/>
        </w:rPr>
        <w:t>。其中</w:t>
      </w:r>
      <w:r>
        <w:rPr>
          <w:rFonts w:ascii="仿宋" w:hAnsi="仿宋" w:eastAsia="仿宋" w:cs="宋体"/>
          <w:kern w:val="0"/>
          <w:sz w:val="24"/>
          <w:szCs w:val="24"/>
        </w:rPr>
        <w:t>A:投标人的报价;B:所有有效报价的平均值</w:t>
      </w:r>
      <w:r>
        <w:rPr>
          <w:rFonts w:hint="eastAsia" w:ascii="仿宋" w:hAnsi="仿宋" w:eastAsia="仿宋" w:cs="宋体"/>
          <w:kern w:val="0"/>
          <w:sz w:val="24"/>
          <w:szCs w:val="24"/>
        </w:rPr>
        <w:t>(</w:t>
      </w:r>
      <w:r>
        <w:rPr>
          <w:rFonts w:ascii="仿宋" w:hAnsi="仿宋" w:eastAsia="仿宋" w:cs="宋体"/>
          <w:kern w:val="0"/>
          <w:sz w:val="24"/>
          <w:szCs w:val="24"/>
        </w:rPr>
        <w:t>保留两位小数);Q为折价分值，当A&gt;=B 时，Q=200;当A&lt;B 时</w:t>
      </w:r>
      <w:r>
        <w:rPr>
          <w:rFonts w:hint="eastAsia" w:ascii="仿宋" w:hAnsi="仿宋" w:eastAsia="仿宋" w:cs="宋体"/>
          <w:kern w:val="0"/>
          <w:sz w:val="24"/>
          <w:szCs w:val="24"/>
        </w:rPr>
        <w:t>,</w:t>
      </w:r>
      <w:r>
        <w:rPr>
          <w:rFonts w:ascii="仿宋" w:hAnsi="仿宋" w:eastAsia="仿宋" w:cs="宋体"/>
          <w:kern w:val="0"/>
          <w:sz w:val="24"/>
          <w:szCs w:val="24"/>
        </w:rPr>
        <w:t>Q=100。</w:t>
      </w:r>
    </w:p>
    <w:p>
      <w:pPr>
        <w:widowControl/>
        <w:shd w:val="clear" w:color="auto" w:fill="FFFFFF"/>
        <w:spacing w:line="525" w:lineRule="atLeast"/>
        <w:ind w:firstLine="480"/>
        <w:rPr>
          <w:rFonts w:ascii="仿宋" w:hAnsi="仿宋" w:eastAsia="仿宋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kern w:val="0"/>
          <w:sz w:val="24"/>
          <w:szCs w:val="24"/>
        </w:rPr>
        <w:t>计算数值与4</w:t>
      </w:r>
      <w:r>
        <w:rPr>
          <w:rFonts w:ascii="仿宋" w:hAnsi="仿宋" w:eastAsia="仿宋" w:cs="宋体"/>
          <w:kern w:val="0"/>
          <w:sz w:val="24"/>
          <w:szCs w:val="24"/>
        </w:rPr>
        <w:t>0</w:t>
      </w:r>
      <w:r>
        <w:rPr>
          <w:rFonts w:hint="eastAsia" w:ascii="仿宋" w:hAnsi="仿宋" w:eastAsia="仿宋" w:cs="宋体"/>
          <w:kern w:val="0"/>
          <w:sz w:val="24"/>
          <w:szCs w:val="24"/>
        </w:rPr>
        <w:t>分相比，每偏离满1即扣1分，扣除后得分即该供应商最终价格项得分。例：计算数值=</w:t>
      </w:r>
      <w:r>
        <w:rPr>
          <w:rFonts w:ascii="仿宋" w:hAnsi="仿宋" w:eastAsia="仿宋" w:cs="宋体"/>
          <w:kern w:val="0"/>
          <w:sz w:val="24"/>
          <w:szCs w:val="24"/>
        </w:rPr>
        <w:t>41.25</w:t>
      </w:r>
      <w:r>
        <w:rPr>
          <w:rFonts w:hint="eastAsia" w:ascii="仿宋" w:hAnsi="仿宋" w:eastAsia="仿宋" w:cs="宋体"/>
          <w:kern w:val="0"/>
          <w:sz w:val="24"/>
          <w:szCs w:val="24"/>
        </w:rPr>
        <w:t>分，偏离4</w:t>
      </w:r>
      <w:r>
        <w:rPr>
          <w:rFonts w:ascii="仿宋" w:hAnsi="仿宋" w:eastAsia="仿宋" w:cs="宋体"/>
          <w:kern w:val="0"/>
          <w:sz w:val="24"/>
          <w:szCs w:val="24"/>
        </w:rPr>
        <w:t>0</w:t>
      </w:r>
      <w:r>
        <w:rPr>
          <w:rFonts w:hint="eastAsia" w:ascii="仿宋" w:hAnsi="仿宋" w:eastAsia="仿宋" w:cs="宋体"/>
          <w:kern w:val="0"/>
          <w:sz w:val="24"/>
          <w:szCs w:val="24"/>
        </w:rPr>
        <w:t>分满1分未满</w:t>
      </w:r>
      <w:r>
        <w:rPr>
          <w:rFonts w:ascii="仿宋" w:hAnsi="仿宋" w:eastAsia="仿宋" w:cs="宋体"/>
          <w:kern w:val="0"/>
          <w:sz w:val="24"/>
          <w:szCs w:val="24"/>
        </w:rPr>
        <w:t>2</w:t>
      </w:r>
      <w:r>
        <w:rPr>
          <w:rFonts w:hint="eastAsia" w:ascii="仿宋" w:hAnsi="仿宋" w:eastAsia="仿宋" w:cs="宋体"/>
          <w:kern w:val="0"/>
          <w:sz w:val="24"/>
          <w:szCs w:val="24"/>
        </w:rPr>
        <w:t>分，将扣除1分，即4</w:t>
      </w:r>
      <w:r>
        <w:rPr>
          <w:rFonts w:ascii="仿宋" w:hAnsi="仿宋" w:eastAsia="仿宋" w:cs="宋体"/>
          <w:kern w:val="0"/>
          <w:sz w:val="24"/>
          <w:szCs w:val="24"/>
        </w:rPr>
        <w:t>0-1=39</w:t>
      </w:r>
      <w:r>
        <w:rPr>
          <w:rFonts w:hint="eastAsia" w:ascii="仿宋" w:hAnsi="仿宋" w:eastAsia="仿宋" w:cs="宋体"/>
          <w:kern w:val="0"/>
          <w:sz w:val="24"/>
          <w:szCs w:val="24"/>
        </w:rPr>
        <w:t>分，最终该供应商得分为3</w:t>
      </w:r>
      <w:r>
        <w:rPr>
          <w:rFonts w:ascii="仿宋" w:hAnsi="仿宋" w:eastAsia="仿宋" w:cs="宋体"/>
          <w:kern w:val="0"/>
          <w:sz w:val="24"/>
          <w:szCs w:val="24"/>
        </w:rPr>
        <w:t>9</w:t>
      </w:r>
      <w:r>
        <w:rPr>
          <w:rFonts w:hint="eastAsia" w:ascii="仿宋" w:hAnsi="仿宋" w:eastAsia="仿宋" w:cs="宋体"/>
          <w:kern w:val="0"/>
          <w:sz w:val="24"/>
          <w:szCs w:val="24"/>
        </w:rPr>
        <w:t>分。</w:t>
      </w:r>
    </w:p>
    <w:p>
      <w:pPr>
        <w:pStyle w:val="18"/>
        <w:widowControl/>
        <w:numPr>
          <w:ilvl w:val="0"/>
          <w:numId w:val="2"/>
        </w:numPr>
        <w:shd w:val="clear" w:color="auto" w:fill="FFFFFF"/>
        <w:spacing w:before="240" w:line="525" w:lineRule="atLeast"/>
        <w:ind w:firstLineChars="0"/>
        <w:rPr>
          <w:rFonts w:ascii="仿宋" w:hAnsi="仿宋" w:eastAsia="仿宋" w:cs="宋体"/>
          <w:b/>
          <w:bCs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kern w:val="0"/>
          <w:sz w:val="24"/>
          <w:szCs w:val="24"/>
        </w:rPr>
        <w:t>技术项（F2）满分为</w:t>
      </w:r>
      <w:r>
        <w:rPr>
          <w:rFonts w:ascii="仿宋" w:hAnsi="仿宋" w:eastAsia="仿宋" w:cs="宋体"/>
          <w:b/>
          <w:bCs/>
          <w:kern w:val="0"/>
          <w:sz w:val="24"/>
          <w:szCs w:val="24"/>
        </w:rPr>
        <w:t>45</w:t>
      </w:r>
      <w:r>
        <w:rPr>
          <w:rFonts w:hint="eastAsia" w:ascii="仿宋" w:hAnsi="仿宋" w:eastAsia="仿宋" w:cs="宋体"/>
          <w:b/>
          <w:bCs/>
          <w:kern w:val="0"/>
          <w:sz w:val="24"/>
          <w:szCs w:val="24"/>
        </w:rPr>
        <w:t>分。</w:t>
      </w:r>
    </w:p>
    <w:p>
      <w:pPr>
        <w:widowControl/>
        <w:shd w:val="clear" w:color="auto" w:fill="FFFFFF"/>
        <w:spacing w:line="525" w:lineRule="atLeast"/>
        <w:ind w:firstLine="480"/>
        <w:rPr>
          <w:rFonts w:ascii="仿宋" w:hAnsi="仿宋" w:eastAsia="仿宋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4"/>
          <w:szCs w:val="24"/>
          <w:highlight w:val="none"/>
        </w:rPr>
        <w:t>供应商所投产品的技术参数完全满足《附件</w:t>
      </w:r>
      <w:r>
        <w:rPr>
          <w:rFonts w:ascii="仿宋" w:hAnsi="仿宋" w:eastAsia="仿宋" w:cs="宋体"/>
          <w:color w:val="auto"/>
          <w:kern w:val="0"/>
          <w:sz w:val="24"/>
          <w:szCs w:val="24"/>
          <w:highlight w:val="none"/>
        </w:rPr>
        <w:t>1.服务内容及技术参数要求</w:t>
      </w:r>
      <w:r>
        <w:rPr>
          <w:rFonts w:hint="eastAsia" w:ascii="仿宋" w:hAnsi="仿宋" w:eastAsia="仿宋" w:cs="宋体"/>
          <w:color w:val="auto"/>
          <w:kern w:val="0"/>
          <w:sz w:val="24"/>
          <w:szCs w:val="24"/>
          <w:highlight w:val="none"/>
        </w:rPr>
        <w:t>》</w:t>
      </w:r>
      <w:r>
        <w:rPr>
          <w:rFonts w:ascii="仿宋" w:hAnsi="仿宋" w:eastAsia="仿宋" w:cs="宋体"/>
          <w:color w:val="auto"/>
          <w:kern w:val="0"/>
          <w:sz w:val="24"/>
          <w:szCs w:val="24"/>
          <w:highlight w:val="none"/>
        </w:rPr>
        <w:t>的得45分，标注“★”号的</w:t>
      </w:r>
      <w:r>
        <w:rPr>
          <w:rFonts w:hint="eastAsia" w:ascii="仿宋" w:hAnsi="仿宋" w:eastAsia="仿宋" w:cs="宋体"/>
          <w:color w:val="auto"/>
          <w:kern w:val="0"/>
          <w:sz w:val="24"/>
          <w:szCs w:val="24"/>
          <w:highlight w:val="none"/>
        </w:rPr>
        <w:t>交付时间要求</w:t>
      </w:r>
      <w:r>
        <w:rPr>
          <w:rFonts w:ascii="仿宋" w:hAnsi="仿宋" w:eastAsia="仿宋" w:cs="宋体"/>
          <w:color w:val="auto"/>
          <w:kern w:val="0"/>
          <w:sz w:val="24"/>
          <w:szCs w:val="24"/>
          <w:highlight w:val="none"/>
        </w:rPr>
        <w:t>为不允许负偏离的实质性条款（共计1项），</w:t>
      </w:r>
      <w:r>
        <w:rPr>
          <w:rFonts w:hint="eastAsia" w:ascii="仿宋" w:hAnsi="仿宋" w:eastAsia="仿宋" w:cs="宋体"/>
          <w:color w:val="auto"/>
          <w:kern w:val="0"/>
          <w:sz w:val="24"/>
          <w:szCs w:val="24"/>
          <w:highlight w:val="none"/>
        </w:rPr>
        <w:t>否则</w:t>
      </w:r>
      <w:r>
        <w:rPr>
          <w:rFonts w:ascii="仿宋" w:hAnsi="仿宋" w:eastAsia="仿宋" w:cs="宋体"/>
          <w:color w:val="auto"/>
          <w:kern w:val="0"/>
          <w:sz w:val="24"/>
          <w:szCs w:val="24"/>
          <w:highlight w:val="none"/>
        </w:rPr>
        <w:t>按无效标处理。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850"/>
        <w:gridCol w:w="6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评标项目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评标分值</w:t>
            </w:r>
          </w:p>
        </w:tc>
        <w:tc>
          <w:tcPr>
            <w:tcW w:w="6600" w:type="dxa"/>
            <w:vAlign w:val="center"/>
          </w:tcPr>
          <w:p>
            <w:pPr>
              <w:widowControl/>
              <w:spacing w:after="150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评标方法描述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模型创建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after="1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6600" w:type="dxa"/>
            <w:vAlign w:val="center"/>
          </w:tcPr>
          <w:p>
            <w:pPr>
              <w:pStyle w:val="4"/>
              <w:spacing w:line="360" w:lineRule="auto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  <w:t>能熟练使用</w:t>
            </w:r>
            <w:r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  <w:t>ZBRUSH软件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  <w:t>为动画形象</w:t>
            </w:r>
            <w:r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  <w:t>制作3D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  <w:t>角色</w:t>
            </w:r>
            <w:r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  <w:t>模型，面数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  <w:t>达到</w:t>
            </w:r>
            <w:r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  <w:t>20000面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  <w:t>及以上，得</w:t>
            </w:r>
            <w:r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  <w:t>6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  <w:t>分；</w:t>
            </w:r>
          </w:p>
          <w:p>
            <w:pPr>
              <w:pStyle w:val="4"/>
              <w:spacing w:line="360" w:lineRule="auto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  <w:t>能使用</w:t>
            </w:r>
            <w:r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  <w:t>ZBRUSH软件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  <w:t>为动画形象</w:t>
            </w:r>
            <w:r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  <w:t>制作3D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  <w:t>角色</w:t>
            </w:r>
            <w:r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  <w:t>模型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  <w:t>，面数达到1</w:t>
            </w:r>
            <w:r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  <w:t>5000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  <w:t>面至2</w:t>
            </w:r>
            <w:r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  <w:t>0000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  <w:t>面之间，得</w:t>
            </w:r>
            <w:r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  <w:t>3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  <w:t>分；</w:t>
            </w:r>
          </w:p>
          <w:p>
            <w:pPr>
              <w:pStyle w:val="4"/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</w:rPr>
              <w:t>其他情况本项不得分。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骨骼绑定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after="1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6600" w:type="dxa"/>
            <w:vAlign w:val="center"/>
          </w:tcPr>
          <w:p>
            <w:pPr>
              <w:pStyle w:val="4"/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能熟练使用3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DMAX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软件为角色模型创建骨骼系统，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保证骨骼绑定正确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，保障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实现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动作的自然流畅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，得</w:t>
            </w:r>
            <w:r>
              <w:rPr>
                <w:rFonts w:ascii="仿宋" w:hAnsi="仿宋" w:eastAsia="仿宋"/>
                <w:sz w:val="24"/>
                <w:szCs w:val="24"/>
              </w:rPr>
              <w:t>6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分；</w:t>
            </w:r>
          </w:p>
          <w:p>
            <w:pPr>
              <w:pStyle w:val="4"/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能熟练使用3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DMAX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软件为角色模型创建骨骼系统，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保证骨骼绑定正确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，但动作不够自然流畅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，得</w:t>
            </w:r>
            <w:r>
              <w:rPr>
                <w:rFonts w:ascii="仿宋" w:hAnsi="仿宋" w:eastAsia="仿宋"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分；</w:t>
            </w:r>
          </w:p>
          <w:p>
            <w:pPr>
              <w:pStyle w:val="4"/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其他情况本项不得分。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文件输出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after="1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6600" w:type="dxa"/>
            <w:vAlign w:val="center"/>
          </w:tcPr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能熟练导入虚幻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5引擎中调试卡通材质并导出序列帧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，得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6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分；</w:t>
            </w:r>
          </w:p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其他情况本项不得分。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ab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场景设计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after="1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6600" w:type="dxa"/>
            <w:vAlign w:val="center"/>
          </w:tcPr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能够创建具有吸引力的背景场景，包括环境要素、地形、氛围和灯光等，与动画场景高度匹配，得5分；</w:t>
            </w:r>
          </w:p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创建背景场景较为普通，与动画场景匹配度一般，等3分；</w:t>
            </w:r>
          </w:p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其他情况本项不得分。；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背景绘制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after="1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6600" w:type="dxa"/>
            <w:vAlign w:val="center"/>
          </w:tcPr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绘制的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2D背景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能高度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还原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我校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某些特定建筑与场景，并确保建筑风格与背景一致，以及与角色风格相协调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，每个场景得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分，不少于3个场景；</w:t>
            </w:r>
          </w:p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其他情况本项不得分。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色彩风格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after="1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6600" w:type="dxa"/>
            <w:vAlign w:val="center"/>
          </w:tcPr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绘制场景时，能考虑到不同场景和情境的变化，确保色彩、风格和氛围与动画项目一致，得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4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分；</w:t>
            </w:r>
          </w:p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其他情况本项不得分。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特效设计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after="1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6600" w:type="dxa"/>
            <w:vAlign w:val="center"/>
          </w:tcPr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根据场景需求创建各种特效，以增强动画的视觉吸引力，确保特效与场景和角色相协调，得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4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分；</w:t>
            </w:r>
          </w:p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其他情况本项不得分。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特效合成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after="1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6600" w:type="dxa"/>
            <w:vAlign w:val="center"/>
          </w:tcPr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能熟练使用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AE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软件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将不同元素，包括角色、背景和特效，合成到最终画面中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进行色彩校正和图像处理，以获得所需的视觉效果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，得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分；</w:t>
            </w:r>
          </w:p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其他情况本项不得分。</w:t>
            </w:r>
          </w:p>
        </w:tc>
      </w:tr>
    </w:tbl>
    <w:p>
      <w:pPr>
        <w:pStyle w:val="18"/>
        <w:widowControl/>
        <w:numPr>
          <w:ilvl w:val="0"/>
          <w:numId w:val="2"/>
        </w:numPr>
        <w:shd w:val="clear" w:color="auto" w:fill="FFFFFF"/>
        <w:spacing w:before="240" w:line="525" w:lineRule="atLeast"/>
        <w:ind w:firstLineChars="0"/>
        <w:rPr>
          <w:rFonts w:ascii="仿宋" w:hAnsi="仿宋" w:eastAsia="仿宋" w:cs="宋体"/>
          <w:b/>
          <w:bCs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kern w:val="0"/>
          <w:sz w:val="24"/>
          <w:szCs w:val="24"/>
        </w:rPr>
        <w:t>商务项（F3）满分为</w:t>
      </w:r>
      <w:r>
        <w:rPr>
          <w:rFonts w:ascii="仿宋" w:hAnsi="仿宋" w:eastAsia="仿宋" w:cs="宋体"/>
          <w:b/>
          <w:bCs/>
          <w:kern w:val="0"/>
          <w:sz w:val="24"/>
          <w:szCs w:val="24"/>
        </w:rPr>
        <w:t>1</w:t>
      </w:r>
      <w:r>
        <w:rPr>
          <w:rFonts w:hint="eastAsia" w:ascii="仿宋" w:hAnsi="仿宋" w:eastAsia="仿宋" w:cs="宋体"/>
          <w:b/>
          <w:bCs/>
          <w:kern w:val="0"/>
          <w:sz w:val="24"/>
          <w:szCs w:val="24"/>
        </w:rPr>
        <w:t>5分。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936"/>
        <w:gridCol w:w="64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Align w:val="center"/>
          </w:tcPr>
          <w:p>
            <w:pPr>
              <w:widowControl/>
              <w:spacing w:after="150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评标项目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spacing w:after="150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评标分值</w:t>
            </w:r>
          </w:p>
        </w:tc>
        <w:tc>
          <w:tcPr>
            <w:tcW w:w="6424" w:type="dxa"/>
            <w:vAlign w:val="center"/>
          </w:tcPr>
          <w:p>
            <w:pPr>
              <w:widowControl/>
              <w:spacing w:after="150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评标方法描述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Align w:val="center"/>
          </w:tcPr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业绩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spacing w:after="1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6424" w:type="dxa"/>
            <w:vAlign w:val="center"/>
          </w:tcPr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投标人提供的自20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23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年1月1日至今由投标人参与的同类（文化传播领域）项目业绩，且单一项目金额大于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60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万元。能够提供该证明材料的得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4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分，否则不得分。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Merge w:val="restart"/>
            <w:vAlign w:val="center"/>
          </w:tcPr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供应商实力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spacing w:after="1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Calibri"/>
                <w:kern w:val="0"/>
                <w:sz w:val="24"/>
                <w:szCs w:val="24"/>
              </w:rPr>
              <w:t>2</w:t>
            </w:r>
          </w:p>
        </w:tc>
        <w:tc>
          <w:tcPr>
            <w:tcW w:w="6424" w:type="dxa"/>
            <w:vAlign w:val="center"/>
          </w:tcPr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投标人承诺投入本项目的服务组人员数不少于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人，满足要求的得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分，否则不得分。（需提供本项目服务人员组名单、在投标人单位截止投标日前半年中任1个月的社保证明）。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widowControl/>
              <w:spacing w:after="1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6424" w:type="dxa"/>
            <w:vAlign w:val="center"/>
          </w:tcPr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供应商被地级市及以上教育相关的政府群团组织授予社员单位的，得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4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分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,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否则不得分。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Align w:val="center"/>
          </w:tcPr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项目经验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spacing w:after="1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6424" w:type="dxa"/>
            <w:vAlign w:val="center"/>
          </w:tcPr>
          <w:p>
            <w:pPr>
              <w:widowControl/>
              <w:spacing w:after="1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根据投标人提供的往期同类项目经验，由磋商小组进行评分：</w:t>
            </w:r>
          </w:p>
          <w:p>
            <w:pPr>
              <w:pStyle w:val="18"/>
              <w:widowControl/>
              <w:numPr>
                <w:ilvl w:val="0"/>
                <w:numId w:val="3"/>
              </w:numPr>
              <w:spacing w:after="150"/>
              <w:ind w:firstLineChars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项目内容与福建中医药大学河洛形象强相关，项目内容阐述详细完整，与本项目动画制作契合度强的得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分；</w:t>
            </w:r>
          </w:p>
          <w:p>
            <w:pPr>
              <w:pStyle w:val="18"/>
              <w:widowControl/>
              <w:numPr>
                <w:ilvl w:val="0"/>
                <w:numId w:val="3"/>
              </w:numPr>
              <w:spacing w:after="150"/>
              <w:ind w:firstLineChars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项目内容与福建中医药大学河洛形象强相关，项目内容阐述较为详细较完整，但与本项目动画制作契合度不高、或无实质性有利于本项目动画制作的得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分；</w:t>
            </w:r>
          </w:p>
          <w:p>
            <w:pPr>
              <w:pStyle w:val="18"/>
              <w:widowControl/>
              <w:numPr>
                <w:ilvl w:val="0"/>
                <w:numId w:val="3"/>
              </w:numPr>
              <w:spacing w:after="150"/>
              <w:ind w:firstLineChars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项目内容与福建中医药大学河洛形象无相关性，与本项目动画制作契合度不高，但项目内容阐述较为详细较完整，有一定实质性有利于本项目动画制作的，得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分；</w:t>
            </w:r>
          </w:p>
          <w:p>
            <w:pPr>
              <w:pStyle w:val="18"/>
              <w:widowControl/>
              <w:numPr>
                <w:ilvl w:val="0"/>
                <w:numId w:val="3"/>
              </w:numPr>
              <w:spacing w:after="150"/>
              <w:ind w:firstLineChars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项目内容与福建中医药大学河洛形象无相关性，且无利于本项目动画制作的，得0分；</w:t>
            </w:r>
          </w:p>
        </w:tc>
      </w:tr>
    </w:tbl>
    <w:p>
      <w:pPr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F65373"/>
    <w:multiLevelType w:val="multilevel"/>
    <w:tmpl w:val="32F65373"/>
    <w:lvl w:ilvl="0" w:tentative="0">
      <w:start w:val="1"/>
      <w:numFmt w:val="decimal"/>
      <w:lvlText w:val="%1)"/>
      <w:lvlJc w:val="left"/>
      <w:pPr>
        <w:ind w:left="920" w:hanging="440"/>
      </w:pPr>
      <w:rPr>
        <w:b/>
        <w:bCs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1360" w:hanging="440"/>
      </w:pPr>
    </w:lvl>
    <w:lvl w:ilvl="2" w:tentative="0">
      <w:start w:val="1"/>
      <w:numFmt w:val="lowerRoman"/>
      <w:lvlText w:val="%3."/>
      <w:lvlJc w:val="right"/>
      <w:pPr>
        <w:ind w:left="1800" w:hanging="440"/>
      </w:pPr>
    </w:lvl>
    <w:lvl w:ilvl="3" w:tentative="0">
      <w:start w:val="1"/>
      <w:numFmt w:val="decimal"/>
      <w:lvlText w:val="%4."/>
      <w:lvlJc w:val="left"/>
      <w:pPr>
        <w:ind w:left="2240" w:hanging="440"/>
      </w:pPr>
    </w:lvl>
    <w:lvl w:ilvl="4" w:tentative="0">
      <w:start w:val="1"/>
      <w:numFmt w:val="lowerLetter"/>
      <w:lvlText w:val="%5)"/>
      <w:lvlJc w:val="left"/>
      <w:pPr>
        <w:ind w:left="2680" w:hanging="440"/>
      </w:pPr>
    </w:lvl>
    <w:lvl w:ilvl="5" w:tentative="0">
      <w:start w:val="1"/>
      <w:numFmt w:val="lowerRoman"/>
      <w:lvlText w:val="%6."/>
      <w:lvlJc w:val="right"/>
      <w:pPr>
        <w:ind w:left="3120" w:hanging="440"/>
      </w:pPr>
    </w:lvl>
    <w:lvl w:ilvl="6" w:tentative="0">
      <w:start w:val="1"/>
      <w:numFmt w:val="decimal"/>
      <w:lvlText w:val="%7."/>
      <w:lvlJc w:val="left"/>
      <w:pPr>
        <w:ind w:left="3560" w:hanging="440"/>
      </w:pPr>
    </w:lvl>
    <w:lvl w:ilvl="7" w:tentative="0">
      <w:start w:val="1"/>
      <w:numFmt w:val="lowerLetter"/>
      <w:lvlText w:val="%8)"/>
      <w:lvlJc w:val="left"/>
      <w:pPr>
        <w:ind w:left="4000" w:hanging="440"/>
      </w:pPr>
    </w:lvl>
    <w:lvl w:ilvl="8" w:tentative="0">
      <w:start w:val="1"/>
      <w:numFmt w:val="lowerRoman"/>
      <w:lvlText w:val="%9."/>
      <w:lvlJc w:val="right"/>
      <w:pPr>
        <w:ind w:left="4440" w:hanging="440"/>
      </w:pPr>
    </w:lvl>
  </w:abstractNum>
  <w:abstractNum w:abstractNumId="1">
    <w:nsid w:val="40CD2A61"/>
    <w:multiLevelType w:val="multilevel"/>
    <w:tmpl w:val="40CD2A61"/>
    <w:lvl w:ilvl="0" w:tentative="0">
      <w:start w:val="1"/>
      <w:numFmt w:val="decimal"/>
      <w:lvlText w:val="%1)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49D37462"/>
    <w:multiLevelType w:val="multilevel"/>
    <w:tmpl w:val="49D37462"/>
    <w:lvl w:ilvl="0" w:tentative="0">
      <w:start w:val="1"/>
      <w:numFmt w:val="decimal"/>
      <w:lvlText w:val="%1."/>
      <w:lvlJc w:val="left"/>
      <w:pPr>
        <w:ind w:left="920" w:hanging="440"/>
      </w:pPr>
      <w:rPr>
        <w:rFonts w:hint="eastAsia"/>
        <w:b/>
        <w:bCs/>
        <w:color w:val="auto"/>
      </w:rPr>
    </w:lvl>
    <w:lvl w:ilvl="1" w:tentative="0">
      <w:start w:val="1"/>
      <w:numFmt w:val="decimalEnclosedCircle"/>
      <w:lvlText w:val="%2"/>
      <w:lvlJc w:val="left"/>
      <w:pPr>
        <w:ind w:left="1280" w:hanging="360"/>
      </w:pPr>
      <w:rPr>
        <w:rFonts w:hint="default"/>
        <w:b/>
        <w:sz w:val="24"/>
      </w:rPr>
    </w:lvl>
    <w:lvl w:ilvl="2" w:tentative="0">
      <w:start w:val="1"/>
      <w:numFmt w:val="lowerRoman"/>
      <w:lvlText w:val="%3."/>
      <w:lvlJc w:val="right"/>
      <w:pPr>
        <w:ind w:left="1800" w:hanging="440"/>
      </w:pPr>
    </w:lvl>
    <w:lvl w:ilvl="3" w:tentative="0">
      <w:start w:val="1"/>
      <w:numFmt w:val="decimal"/>
      <w:lvlText w:val="%4."/>
      <w:lvlJc w:val="left"/>
      <w:pPr>
        <w:ind w:left="2240" w:hanging="440"/>
      </w:pPr>
    </w:lvl>
    <w:lvl w:ilvl="4" w:tentative="0">
      <w:start w:val="1"/>
      <w:numFmt w:val="lowerLetter"/>
      <w:lvlText w:val="%5)"/>
      <w:lvlJc w:val="left"/>
      <w:pPr>
        <w:ind w:left="2680" w:hanging="440"/>
      </w:pPr>
    </w:lvl>
    <w:lvl w:ilvl="5" w:tentative="0">
      <w:start w:val="1"/>
      <w:numFmt w:val="lowerRoman"/>
      <w:lvlText w:val="%6."/>
      <w:lvlJc w:val="right"/>
      <w:pPr>
        <w:ind w:left="3120" w:hanging="440"/>
      </w:pPr>
    </w:lvl>
    <w:lvl w:ilvl="6" w:tentative="0">
      <w:start w:val="1"/>
      <w:numFmt w:val="decimal"/>
      <w:lvlText w:val="%7."/>
      <w:lvlJc w:val="left"/>
      <w:pPr>
        <w:ind w:left="3560" w:hanging="440"/>
      </w:pPr>
    </w:lvl>
    <w:lvl w:ilvl="7" w:tentative="0">
      <w:start w:val="1"/>
      <w:numFmt w:val="lowerLetter"/>
      <w:lvlText w:val="%8)"/>
      <w:lvlJc w:val="left"/>
      <w:pPr>
        <w:ind w:left="4000" w:hanging="440"/>
      </w:pPr>
    </w:lvl>
    <w:lvl w:ilvl="8" w:tentative="0">
      <w:start w:val="1"/>
      <w:numFmt w:val="lowerRoman"/>
      <w:lvlText w:val="%9."/>
      <w:lvlJc w:val="right"/>
      <w:pPr>
        <w:ind w:left="4440" w:hanging="44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g2MGJhMzQzYjE1YzU3YTEzNjM5NzYzM2Y5MTEyYjIifQ=="/>
  </w:docVars>
  <w:rsids>
    <w:rsidRoot w:val="00480C13"/>
    <w:rsid w:val="000231D8"/>
    <w:rsid w:val="00051276"/>
    <w:rsid w:val="00055F08"/>
    <w:rsid w:val="00092975"/>
    <w:rsid w:val="000A7C93"/>
    <w:rsid w:val="000B15D6"/>
    <w:rsid w:val="000D4A48"/>
    <w:rsid w:val="000D7775"/>
    <w:rsid w:val="000E19F8"/>
    <w:rsid w:val="00104B91"/>
    <w:rsid w:val="001B5E2A"/>
    <w:rsid w:val="001D4338"/>
    <w:rsid w:val="00230834"/>
    <w:rsid w:val="002331C7"/>
    <w:rsid w:val="002416BC"/>
    <w:rsid w:val="00336DA2"/>
    <w:rsid w:val="00384748"/>
    <w:rsid w:val="00395BBB"/>
    <w:rsid w:val="003B0EC3"/>
    <w:rsid w:val="003F0D4A"/>
    <w:rsid w:val="003F5609"/>
    <w:rsid w:val="00411915"/>
    <w:rsid w:val="00424C5F"/>
    <w:rsid w:val="00427CA7"/>
    <w:rsid w:val="00480C13"/>
    <w:rsid w:val="0048575A"/>
    <w:rsid w:val="004A2693"/>
    <w:rsid w:val="004D7BA9"/>
    <w:rsid w:val="004F04B8"/>
    <w:rsid w:val="004F64A9"/>
    <w:rsid w:val="00517592"/>
    <w:rsid w:val="00522A27"/>
    <w:rsid w:val="00556E45"/>
    <w:rsid w:val="00560018"/>
    <w:rsid w:val="005C0AC6"/>
    <w:rsid w:val="00622981"/>
    <w:rsid w:val="00647228"/>
    <w:rsid w:val="00662E66"/>
    <w:rsid w:val="006A2D37"/>
    <w:rsid w:val="006A6E25"/>
    <w:rsid w:val="006D6398"/>
    <w:rsid w:val="007230BA"/>
    <w:rsid w:val="0074196F"/>
    <w:rsid w:val="00746137"/>
    <w:rsid w:val="00771DF5"/>
    <w:rsid w:val="007B686E"/>
    <w:rsid w:val="007D087E"/>
    <w:rsid w:val="00817C57"/>
    <w:rsid w:val="00896C53"/>
    <w:rsid w:val="008A13D6"/>
    <w:rsid w:val="008A41C1"/>
    <w:rsid w:val="008E4B1D"/>
    <w:rsid w:val="008F75E7"/>
    <w:rsid w:val="009347A2"/>
    <w:rsid w:val="00937E5B"/>
    <w:rsid w:val="009432C4"/>
    <w:rsid w:val="009A5AB7"/>
    <w:rsid w:val="00A111DC"/>
    <w:rsid w:val="00A43B79"/>
    <w:rsid w:val="00A43FA3"/>
    <w:rsid w:val="00A561BA"/>
    <w:rsid w:val="00A650BE"/>
    <w:rsid w:val="00A73E8B"/>
    <w:rsid w:val="00A950B0"/>
    <w:rsid w:val="00AD773B"/>
    <w:rsid w:val="00B116C6"/>
    <w:rsid w:val="00B562FC"/>
    <w:rsid w:val="00B87379"/>
    <w:rsid w:val="00BC4D09"/>
    <w:rsid w:val="00C2101F"/>
    <w:rsid w:val="00C2778D"/>
    <w:rsid w:val="00C54E68"/>
    <w:rsid w:val="00C662FD"/>
    <w:rsid w:val="00C93A38"/>
    <w:rsid w:val="00CB5813"/>
    <w:rsid w:val="00CC17BC"/>
    <w:rsid w:val="00CD51AE"/>
    <w:rsid w:val="00CF44D8"/>
    <w:rsid w:val="00D77807"/>
    <w:rsid w:val="00DE1F5E"/>
    <w:rsid w:val="00DF4D44"/>
    <w:rsid w:val="00E035E0"/>
    <w:rsid w:val="00E115BA"/>
    <w:rsid w:val="00E11A58"/>
    <w:rsid w:val="00E14273"/>
    <w:rsid w:val="00E27E16"/>
    <w:rsid w:val="00E31FAC"/>
    <w:rsid w:val="00E3623C"/>
    <w:rsid w:val="00E56C55"/>
    <w:rsid w:val="00E65345"/>
    <w:rsid w:val="00E664CD"/>
    <w:rsid w:val="00E8241C"/>
    <w:rsid w:val="00E82E90"/>
    <w:rsid w:val="00EF7E3B"/>
    <w:rsid w:val="00F05880"/>
    <w:rsid w:val="00F16DB3"/>
    <w:rsid w:val="00F61C3C"/>
    <w:rsid w:val="00FA0922"/>
    <w:rsid w:val="00FA3A7F"/>
    <w:rsid w:val="00FC2656"/>
    <w:rsid w:val="00FF5D31"/>
    <w:rsid w:val="1A2A6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9"/>
    <w:unhideWhenUsed/>
    <w:qFormat/>
    <w:uiPriority w:val="99"/>
    <w:pPr>
      <w:jc w:val="left"/>
    </w:pPr>
  </w:style>
  <w:style w:type="paragraph" w:styleId="4">
    <w:name w:val="Balloon Text"/>
    <w:basedOn w:val="1"/>
    <w:link w:val="23"/>
    <w:unhideWhenUsed/>
    <w:qFormat/>
    <w:uiPriority w:val="99"/>
    <w:rPr>
      <w:rFonts w:ascii="Calibri" w:hAnsi="Calibri" w:eastAsia="宋体" w:cs="Times New Roman"/>
      <w:sz w:val="18"/>
      <w:szCs w:val="18"/>
    </w:rPr>
  </w:style>
  <w:style w:type="paragraph" w:styleId="5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3"/>
    <w:next w:val="3"/>
    <w:link w:val="20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4">
    <w:name w:val="标题 1 字符"/>
    <w:basedOn w:val="11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5">
    <w:name w:val="arti_metas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6">
    <w:name w:val="arti_publisher"/>
    <w:basedOn w:val="11"/>
    <w:uiPriority w:val="0"/>
  </w:style>
  <w:style w:type="character" w:customStyle="1" w:styleId="17">
    <w:name w:val="arti_update"/>
    <w:basedOn w:val="11"/>
    <w:qFormat/>
    <w:uiPriority w:val="0"/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批注文字 字符"/>
    <w:basedOn w:val="11"/>
    <w:link w:val="3"/>
    <w:uiPriority w:val="99"/>
  </w:style>
  <w:style w:type="character" w:customStyle="1" w:styleId="20">
    <w:name w:val="批注主题 字符"/>
    <w:basedOn w:val="19"/>
    <w:link w:val="8"/>
    <w:semiHidden/>
    <w:qFormat/>
    <w:uiPriority w:val="99"/>
    <w:rPr>
      <w:b/>
      <w:bCs/>
    </w:rPr>
  </w:style>
  <w:style w:type="character" w:customStyle="1" w:styleId="21">
    <w:name w:val="页眉 字符"/>
    <w:basedOn w:val="11"/>
    <w:link w:val="6"/>
    <w:qFormat/>
    <w:uiPriority w:val="99"/>
    <w:rPr>
      <w:sz w:val="18"/>
      <w:szCs w:val="18"/>
    </w:rPr>
  </w:style>
  <w:style w:type="character" w:customStyle="1" w:styleId="22">
    <w:name w:val="页脚 字符"/>
    <w:basedOn w:val="11"/>
    <w:link w:val="5"/>
    <w:uiPriority w:val="99"/>
    <w:rPr>
      <w:sz w:val="18"/>
      <w:szCs w:val="18"/>
    </w:rPr>
  </w:style>
  <w:style w:type="character" w:customStyle="1" w:styleId="23">
    <w:name w:val="批注框文本 字符"/>
    <w:basedOn w:val="11"/>
    <w:link w:val="4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273</Words>
  <Characters>1557</Characters>
  <Lines>12</Lines>
  <Paragraphs>3</Paragraphs>
  <TotalTime>543</TotalTime>
  <ScaleCrop>false</ScaleCrop>
  <LinksUpToDate>false</LinksUpToDate>
  <CharactersWithSpaces>1827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2023-07-17T05:11:00Z</dcterms:created>
  <dc:creator>Jamin Jiang</dc:creator>
  <cp:lastModifiedBy>meditch</cp:lastModifiedBy>
  <dcterms:modified xsi:type="dcterms:W3CDTF">2023-10-18T02:22:03Z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43D9B8998647415BBEA95CC151040428_12</vt:lpwstr>
  </property>
</Properties>
</file>